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color w:val="C9A84C"/>
          <w:sz w:val="15"/>
          <w:szCs w:val="15"/>
        </w:rPr>
        <w:t xml:space="preserve">FACILITATOR PROTOCOL</w:t>
      </w:r>
    </w:p>
    <w:p>
      <w:pPr>
        <w:spacing w:after="160" w:before="240"/>
      </w:pPr>
      <w:r>
        <w:rPr>
          <w:rFonts w:ascii="Cormorant Garamond" w:cs="Cormorant Garamond" w:eastAsia="Cormorant Garamond" w:hAnsi="Cormorant Garamond"/>
          <w:b/>
          <w:bCs/>
          <w:color w:val="0F2347"/>
          <w:sz w:val="40"/>
          <w:szCs w:val="40"/>
        </w:rPr>
        <w:t xml:space="preserve">A Live Capability Position Read</w:t>
      </w:r>
    </w:p>
    <w:p>
      <w:pPr>
        <w:pBdr>
          <w:bottom w:val="single" w:color="C9A84C" w:sz="6"/>
        </w:pBdr>
        <w:spacing w:after="120" w:line="276"/>
      </w:pPr>
      <w:r>
        <w:rPr>
          <w:rFonts w:ascii="DM Sans" w:cs="DM Sans" w:eastAsia="DM Sans" w:hAnsi="DM Sans"/>
          <w:b/>
          <w:bCs/>
          <w:color w:val="1A1A1A"/>
          <w:sz w:val="20"/>
          <w:szCs w:val="20"/>
        </w:rPr>
        <w:t>v3.3 · Instrument v1.1 · Deck v4.10 · Staged workbooks v1.2 · Complete record v5.7</w:t>
      </w:r>
    </w:p>
    <w:p>
      <w:pPr>
        <w:spacing w:after="120" w:line="276"/>
      </w:pPr>
      <w:r>
        <w:rPr>
          <w:rFonts w:ascii="DM Sans" w:cs="DM Sans" w:eastAsia="DM Sans" w:hAnsi="DM Sans"/>
          <w:i/>
          <w:iCs/>
          <w:color w:val="1A1A1A"/>
          <w:sz w:val="20"/>
          <w:szCs w:val="20"/>
        </w:rPr>
        <w:t>The previous Facilitator Protocol was not supplied for this pass. This document was rebuilt from the deck speaker notes, the staged workbook design and the corrections in this revision (deck v4.10, workbooks v1.2 / complete record v5.7). Reconcile it against your held copy before delivery and tell me what it contradicts.</w:t>
      </w:r>
    </w:p>
    <w:p>
      <w:pPr>
        <w:spacing w:after="100" w:before="220"/>
      </w:pPr>
      <w:r>
        <w:rPr>
          <w:rFonts w:ascii="DM Sans" w:cs="DM Sans" w:eastAsia="DM Sans" w:hAnsi="DM Sans"/>
          <w:b/>
          <w:bCs/>
          <w:color w:val="0F2347"/>
          <w:sz w:val="22"/>
          <w:szCs w:val="22"/>
        </w:rPr>
        <w:t xml:space="preserve">1. Before the room opens</w:t>
      </w:r>
    </w:p>
    <w:p>
      <w:pPr>
        <w:pStyle w:val="ListParagraph"/>
        <w:numPr>
          <w:ilvl w:val="0"/>
          <w:numId w:val="1"/>
        </w:numPr>
        <w:spacing w:after="60"/>
      </w:pPr>
      <w:r>
        <w:rPr>
          <w:rFonts w:ascii="DM Sans" w:cs="DM Sans" w:eastAsia="DM Sans" w:hAnsi="DM Sans"/>
          <w:sz w:val="19"/>
          <w:szCs w:val="19"/>
        </w:rPr>
        <w:t xml:space="preserve">Confirm the deck, both staged workbooks, the complete record and the Field Kit all read Capability Formation Instrument Version 1.1. Data from different versions does not merge.</w:t>
      </w:r>
    </w:p>
    <w:p>
      <w:pPr>
        <w:pStyle w:val="ListParagraph"/>
        <w:numPr>
          <w:ilvl w:val="0"/>
          <w:numId w:val="1"/>
        </w:numPr>
        <w:spacing w:after="60"/>
      </w:pPr>
      <w:r>
        <w:rPr>
          <w:rFonts w:ascii="DM Sans" w:cs="DM Sans" w:eastAsia="DM Sans" w:hAnsi="DM Sans"/>
          <w:sz w:val="19"/>
          <w:szCs w:val="19"/>
        </w:rPr>
        <w:t>Choose and TEST the anonymous polling method. Options: an anonymous QR or web poll, an anonymous digital poll, or unnumbered folded paper slips passed to the centre in an in-person room. Do not use numbered cards: a numbered card is traceable to the person holding it and is not anonymous. The method must be platform-independent and must not require participants to identify themselves. It must be tested, not assumed.</w:t>
      </w:r>
    </w:p>
    <w:p>
      <w:pPr>
        <w:pStyle w:val="ListParagraph"/>
        <w:numPr>
          <w:ilvl w:val="0"/>
          <w:numId w:val="1"/>
        </w:numPr>
        <w:spacing w:after="60"/>
      </w:pPr>
      <w:r>
        <w:rPr>
          <w:rFonts w:ascii="DM Sans" w:cs="DM Sans" w:eastAsia="DM Sans" w:hAnsi="DM Sans"/>
          <w:sz w:val="19"/>
          <w:szCs w:val="19"/>
        </w:rPr>
        <w:t xml:space="preserve">Send Part A only. Do not send Part B, and do not send the complete record.</w:t>
      </w:r>
    </w:p>
    <w:p>
      <w:pPr>
        <w:pStyle w:val="ListParagraph"/>
        <w:numPr>
          <w:ilvl w:val="0"/>
          <w:numId w:val="1"/>
        </w:numPr>
        <w:spacing w:after="60"/>
      </w:pPr>
      <w:r>
        <w:rPr>
          <w:rFonts w:ascii="DM Sans" w:cs="DM Sans" w:eastAsia="DM Sans" w:hAnsi="DM Sans"/>
          <w:sz w:val="19"/>
          <w:szCs w:val="19"/>
        </w:rPr>
        <w:t>Confirm the calendar block is two hours. The two-hour block is the binding constraint. The designed core runs about 105 to 107 minutes — roughly 105 minutes of teaching and scoring plus a two-minute Part B release — and the remaining time is Q&amp;A, appendix applications and overrun protection. Do not advertise a minute-precise runtime.</w:t>
      </w:r>
    </w:p>
    <w:p>
      <w:pPr>
        <w:pStyle w:val="ListParagraph"/>
        <w:numPr>
          <w:ilvl w:val="0"/>
          <w:numId w:val="1"/>
        </w:numPr>
        <w:spacing w:after="60"/>
      </w:pPr>
      <w:r>
        <w:rPr>
          <w:rFonts w:ascii="DM Sans" w:cs="DM Sans" w:eastAsia="DM Sans" w:hAnsi="DM Sans"/>
          <w:sz w:val="19"/>
          <w:szCs w:val="19"/>
        </w:rPr>
        <w:t xml:space="preserve">Room size for the founding pilot is fifteen.</w:t>
      </w:r>
    </w:p>
    <w:p>
      <w:pPr>
        <w:spacing w:after="100" w:before="220"/>
      </w:pPr>
      <w:r>
        <w:rPr>
          <w:rFonts w:ascii="DM Sans" w:cs="DM Sans" w:eastAsia="DM Sans" w:hAnsi="DM Sans"/>
          <w:b/>
          <w:bCs/>
          <w:color w:val="0F2347"/>
          <w:sz w:val="22"/>
          <w:szCs w:val="22"/>
        </w:rPr>
        <w:t xml:space="preserve">2. Staged release — this is method, not convenience</w:t>
      </w:r>
    </w:p>
    <w:p>
      <w:pPr>
        <w:spacing w:after="120" w:line="276"/>
      </w:pPr>
      <w:r>
        <w:rPr>
          <w:rFonts w:ascii="DM Sans" w:cs="DM Sans" w:eastAsia="DM Sans" w:hAnsi="DM Sans"/>
          <w:color w:val="1A1A1A"/>
          <w:sz w:val="20"/>
          <w:szCs w:val="20"/>
        </w:rPr>
        <w:t xml:space="preserve">The first score is only worth something if it was made before the participant was taught how to correct it. A participant who has read the evidence protocol, the misreadings, the correction map, the promotion application, the sensitivity procedure or the move categories before their first placement has not produced an uncalibrated baseline, and the pair of readings that follows is not a finding.</w:t>
      </w:r>
    </w:p>
    <w:p>
      <w:pPr>
        <w:pStyle w:val="ListParagraph"/>
        <w:numPr>
          <w:ilvl w:val="0"/>
          <w:numId w:val="1"/>
        </w:numPr>
        <w:spacing w:after="60"/>
      </w:pPr>
      <w:r>
        <w:rPr>
          <w:rFonts w:ascii="DM Sans" w:cs="DM Sans" w:eastAsia="DM Sans" w:hAnsi="DM Sans"/>
          <w:sz w:val="19"/>
          <w:szCs w:val="19"/>
        </w:rPr>
        <w:t xml:space="preserve">Part A, the Initial Read workbook, is released with the joining instructions, before the session.</w:t>
      </w:r>
    </w:p>
    <w:p>
      <w:pPr>
        <w:pStyle w:val="ListParagraph"/>
        <w:numPr>
          <w:ilvl w:val="0"/>
          <w:numId w:val="1"/>
        </w:numPr>
        <w:spacing w:after="60"/>
      </w:pPr>
      <w:r>
        <w:rPr>
          <w:rFonts w:ascii="DM Sans" w:cs="DM Sans" w:eastAsia="DM Sans" w:hAnsi="DM Sans"/>
          <w:sz w:val="19"/>
          <w:szCs w:val="19"/>
        </w:rPr>
        <w:t>Part B, Calibration and Decision, is released in the room only after every participant has completed the first placement and the confidence number, at approximately minute 31. The deck carries a visible “Open Part B now” transition slide for this moment. Allow about two minutes for the release, file opening and navigation; it does not take zero time.</w:t>
      </w:r>
    </w:p>
    <w:p>
      <w:pPr>
        <w:pStyle w:val="ListParagraph"/>
        <w:numPr>
          <w:ilvl w:val="0"/>
          <w:numId w:val="1"/>
        </w:numPr>
        <w:spacing w:after="60"/>
      </w:pPr>
      <w:r>
        <w:t>Tell participants to keep Part A open when Part B is released: they will need their initial Density and Optionality totals, their initial state, and their initial confidence to compare against the corrected reading.</w:t>
      </w:r>
    </w:p>
    <w:p>
      <w:pPr>
        <w:pStyle w:val="ListParagraph"/>
        <w:numPr>
          <w:ilvl w:val="0"/>
          <w:numId w:val="1"/>
        </w:numPr>
        <w:spacing w:after="60"/>
      </w:pPr>
      <w:r>
        <w:rPr>
          <w:rFonts w:ascii="DM Sans" w:cs="DM Sans" w:eastAsia="DM Sans" w:hAnsi="DM Sans"/>
          <w:sz w:val="19"/>
          <w:szCs w:val="19"/>
        </w:rPr>
        <w:t>The complete record, workbook v5.7, is sent after the session with the Field Kit.</w:t>
      </w:r>
    </w:p>
    <w:p>
      <w:pPr>
        <w:pStyle w:val="ListParagraph"/>
        <w:numPr>
          <w:ilvl w:val="0"/>
          <w:numId w:val="1"/>
        </w:numPr>
        <w:spacing w:after="60"/>
      </w:pPr>
      <w:r>
        <w:rPr>
          <w:rFonts w:ascii="DM Sans" w:cs="DM Sans" w:eastAsia="DM Sans" w:hAnsi="DM Sans"/>
          <w:sz w:val="19"/>
          <w:szCs w:val="19"/>
        </w:rPr>
        <w:t xml:space="preserve">Do not rely on asking people not to read ahead. Withhold the file.</w:t>
      </w:r>
    </w:p>
    <w:p>
      <w:pPr>
        <w:pStyle w:val="ListParagraph"/>
        <w:numPr>
          <w:ilvl w:val="0"/>
          <w:numId w:val="1"/>
        </w:numPr>
        <w:spacing w:after="60"/>
      </w:pPr>
      <w:r>
        <w:rPr>
          <w:rFonts w:ascii="DM Sans" w:cs="DM Sans" w:eastAsia="DM Sans" w:hAnsi="DM Sans"/>
          <w:sz w:val="19"/>
          <w:szCs w:val="19"/>
        </w:rPr>
        <w:t xml:space="preserve">If a participant arrives having already seen calibration material, record it. Their pair of readings is still useful to them and is excluded from the pilot counts.</w:t>
      </w:r>
    </w:p>
    <w:p>
      <w:pPr>
        <w:spacing w:after="100" w:before="220"/>
      </w:pPr>
      <w:r>
        <w:rPr>
          <w:rFonts w:ascii="DM Sans" w:cs="DM Sans" w:eastAsia="DM Sans" w:hAnsi="DM Sans"/>
          <w:b/>
          <w:bCs/>
          <w:color w:val="0F2347"/>
          <w:sz w:val="22"/>
          <w:szCs w:val="22"/>
        </w:rPr>
        <w:t xml:space="preserve">3. Anonymous room-level counts</w:t>
      </w:r>
    </w:p>
    <w:p>
      <w:pPr>
        <w:spacing w:after="120" w:line="276"/>
      </w:pPr>
      <w:r>
        <w:rPr>
          <w:rFonts w:ascii="DM Sans" w:cs="DM Sans" w:eastAsia="DM Sans" w:hAnsi="DM Sans"/>
          <w:color w:val="1A1A1A"/>
          <w:sz w:val="20"/>
          <w:szCs w:val="20"/>
        </w:rPr>
        <w:t xml:space="preserve">The session promises that scoring is private and that nothing written in the workbook is collected. A show of hands contradicts that promise, and the people least willing to raise a hand are the people the question is about.</w:t>
      </w:r>
    </w:p>
    <w:p>
      <w:pPr>
        <w:pStyle w:val="ListParagraph"/>
        <w:numPr>
          <w:ilvl w:val="0"/>
          <w:numId w:val="1"/>
        </w:numPr>
        <w:spacing w:after="60"/>
      </w:pPr>
      <w:r>
        <w:rPr>
          <w:rFonts w:ascii="DM Sans" w:cs="DM Sans" w:eastAsia="DM Sans" w:hAnsi="DM Sans"/>
          <w:sz w:val="19"/>
          <w:szCs w:val="19"/>
        </w:rPr>
        <w:t xml:space="preserve">All room-level counts run through the anonymous method: the four-square count at first placement, the four-square count at second placement, the three movement counts, and the three sensitivity-check counts.</w:t>
      </w:r>
    </w:p>
    <w:p>
      <w:pPr>
        <w:pStyle w:val="ListParagraph"/>
        <w:numPr>
          <w:ilvl w:val="0"/>
          <w:numId w:val="1"/>
        </w:numPr>
        <w:spacing w:after="60"/>
      </w:pPr>
      <w:r>
        <w:rPr>
          <w:rFonts w:ascii="DM Sans" w:cs="DM Sans" w:eastAsia="DM Sans" w:hAnsi="DM Sans"/>
          <w:sz w:val="19"/>
          <w:szCs w:val="19"/>
        </w:rPr>
        <w:t xml:space="preserve">Capture totals only. Never who is in which square.</w:t>
      </w:r>
    </w:p>
    <w:p>
      <w:pPr>
        <w:pStyle w:val="ListParagraph"/>
        <w:numPr>
          <w:ilvl w:val="0"/>
          <w:numId w:val="1"/>
        </w:numPr>
        <w:spacing w:after="60"/>
      </w:pPr>
      <w:r>
        <w:t>Record the initial four-square count silently. Do not display, chart or read out the initial state distribution until after the corrected placement.</w:t>
      </w:r>
    </w:p>
    <w:p>
      <w:pPr>
        <w:pStyle w:val="ListParagraph"/>
        <w:numPr>
          <w:ilvl w:val="0"/>
          <w:numId w:val="1"/>
        </w:numPr>
        <w:spacing w:after="60"/>
      </w:pPr>
      <w:r>
        <w:rPr>
          <w:rFonts w:ascii="DM Sans" w:cs="DM Sans" w:eastAsia="DM Sans" w:hAnsi="DM Sans"/>
          <w:sz w:val="19"/>
          <w:szCs w:val="19"/>
        </w:rPr>
        <w:t xml:space="preserve">Never ask anyone to identify as Stagnant or Fragile, aloud or by hand.</w:t>
      </w:r>
    </w:p>
    <w:p>
      <w:pPr>
        <w:pStyle w:val="ListParagraph"/>
        <w:numPr>
          <w:ilvl w:val="0"/>
          <w:numId w:val="1"/>
        </w:numPr>
        <w:spacing w:after="60"/>
      </w:pPr>
      <w:r>
        <w:t>Placement polls offer, alongside the four squares, an option for “Boundary — reading neighbouring states” and an option for “Incomplete axis — no single placement”, so that a boundary or incomplete reading is not forced into one square.</w:t>
      </w:r>
    </w:p>
    <w:p>
      <w:pPr>
        <w:spacing w:after="100" w:before="220"/>
      </w:pPr>
      <w:r>
        <w:rPr>
          <w:rFonts w:ascii="DM Sans" w:cs="DM Sans" w:eastAsia="DM Sans" w:hAnsi="DM Sans"/>
          <w:b/>
          <w:bCs/>
          <w:color w:val="0F2347"/>
          <w:sz w:val="22"/>
          <w:szCs w:val="22"/>
        </w:rPr>
        <w:t xml:space="preserve">4. What may and may not be captured</w:t>
      </w:r>
    </w:p>
    <w:p>
      <w:pPr>
        <w:spacing w:after="120" w:line="276"/>
      </w:pPr>
      <w:r>
        <w:rPr>
          <w:rFonts w:ascii="DM Sans" w:cs="DM Sans" w:eastAsia="DM Sans" w:hAnsi="DM Sans"/>
          <w:b/>
          <w:bCs/>
          <w:color w:val="1A1A1A"/>
          <w:sz w:val="20"/>
          <w:szCs w:val="20"/>
        </w:rPr>
        <w:t xml:space="preserve">Capture only anonymized room-level counts and voluntarily shared, permissioned language. Do not collect workbook responses or third-party names.</w:t>
      </w:r>
    </w:p>
    <w:p>
      <w:pPr>
        <w:pStyle w:val="ListParagraph"/>
        <w:numPr>
          <w:ilvl w:val="0"/>
          <w:numId w:val="1"/>
        </w:numPr>
        <w:spacing w:after="60"/>
      </w:pPr>
      <w:r>
        <w:rPr>
          <w:rFonts w:ascii="DM Sans" w:cs="DM Sans" w:eastAsia="DM Sans" w:hAnsi="DM Sans"/>
          <w:sz w:val="19"/>
          <w:szCs w:val="19"/>
        </w:rPr>
        <w:t xml:space="preserve">Do NOT collect: individual move categories, individual first actions, names of people participants intend to contact, workbook responses, employer names, third-party names, scores or states linked to a person.</w:t>
      </w:r>
    </w:p>
    <w:p>
      <w:pPr>
        <w:pStyle w:val="ListParagraph"/>
        <w:numPr>
          <w:ilvl w:val="0"/>
          <w:numId w:val="1"/>
        </w:numPr>
        <w:spacing w:after="60"/>
      </w:pPr>
      <w:r>
        <w:rPr>
          <w:rFonts w:ascii="DM Sans" w:cs="DM Sans" w:eastAsia="DM Sans" w:hAnsi="DM Sans"/>
          <w:sz w:val="19"/>
          <w:szCs w:val="19"/>
        </w:rPr>
        <w:t xml:space="preserve">Permission script, said before any voluntary read: “If you read, keep it to lines six, seven and eight. No scores, no employer names, and no names of other people. If you want to name a relationship, name it generically, such as my skip-level or a former colleague. I would like to keep a note of the words some of you use, because it helps me improve the session. I will only write down a phrase if you tell me I can, and I will not attach your name to it.”</w:t>
      </w:r>
    </w:p>
    <w:p>
      <w:pPr>
        <w:pStyle w:val="ListParagraph"/>
        <w:numPr>
          <w:ilvl w:val="0"/>
          <w:numId w:val="1"/>
        </w:numPr>
        <w:spacing w:after="60"/>
      </w:pPr>
      <w:r>
        <w:rPr>
          <w:rFonts w:ascii="DM Sans" w:cs="DM Sans" w:eastAsia="DM Sans" w:hAnsi="DM Sans"/>
          <w:sz w:val="19"/>
          <w:szCs w:val="19"/>
        </w:rPr>
        <w:t xml:space="preserve">Ask per person, after they read. Silence is a no.</w:t>
      </w:r>
    </w:p>
    <w:p>
      <w:pPr>
        <w:spacing w:after="100" w:before="220"/>
      </w:pPr>
      <w:r>
        <w:rPr>
          <w:rFonts w:ascii="DM Sans" w:cs="DM Sans" w:eastAsia="DM Sans" w:hAnsi="DM Sans"/>
          <w:b/>
          <w:bCs/>
          <w:color w:val="0F2347"/>
          <w:sz w:val="22"/>
          <w:szCs w:val="22"/>
        </w:rPr>
        <w:t xml:space="preserve">5. Protected segments</w:t>
      </w:r>
    </w:p>
    <w:p>
      <w:pPr>
        <w:spacing w:after="120" w:line="276"/>
      </w:pPr>
      <w:r>
        <w:rPr>
          <w:rFonts w:ascii="DM Sans" w:cs="DM Sans" w:eastAsia="DM Sans" w:hAnsi="DM Sans"/>
          <w:color w:val="1A1A1A"/>
          <w:sz w:val="20"/>
          <w:szCs w:val="20"/>
        </w:rPr>
        <w:t>Psychological safety, the evidence-backed rescore, the second placement, the neighbouring-score sensitivity check, the eight-minute writing block, and the close with the rescore date. In Part A the psychological-safety page now precedes the first placement, so the safety framing is read before anyone places themselves. None of these may be cut. Time comes from the state-cost segment first and the voluntary reads second.</w:t>
      </w:r>
    </w:p>
    <w:p>
      <w:pPr>
        <w:spacing w:after="100" w:before="220"/>
      </w:pPr>
      <w:r>
        <w:rPr>
          <w:rFonts w:ascii="DM Sans" w:cs="DM Sans" w:eastAsia="DM Sans" w:hAnsi="DM Sans"/>
          <w:b/>
          <w:bCs/>
          <w:color w:val="0F2347"/>
          <w:sz w:val="22"/>
          <w:szCs w:val="22"/>
        </w:rPr>
        <w:t xml:space="preserve">6. Language discipline</w:t>
      </w:r>
    </w:p>
    <w:p>
      <w:pPr>
        <w:pStyle w:val="ListParagraph"/>
        <w:numPr>
          <w:ilvl w:val="0"/>
          <w:numId w:val="1"/>
        </w:numPr>
        <w:spacing w:after="60"/>
      </w:pPr>
      <w:r>
        <w:rPr>
          <w:rFonts w:ascii="DM Sans" w:cs="DM Sans" w:eastAsia="DM Sans" w:hAnsi="DM Sans"/>
          <w:sz w:val="19"/>
          <w:szCs w:val="19"/>
        </w:rPr>
        <w:t xml:space="preserve">Replaceability is not Density. The four institutional questions are questions institutional rooms often weigh; the two axes read the formation and portability questions underneath them.</w:t>
      </w:r>
    </w:p>
    <w:p>
      <w:pPr>
        <w:pStyle w:val="ListParagraph"/>
        <w:numPr>
          <w:ilvl w:val="0"/>
          <w:numId w:val="1"/>
        </w:numPr>
        <w:spacing w:after="60"/>
      </w:pPr>
      <w:r>
        <w:rPr>
          <w:rFonts w:ascii="DM Sans" w:cs="DM Sans" w:eastAsia="DM Sans" w:hAnsi="DM Sans"/>
          <w:sz w:val="19"/>
          <w:szCs w:val="19"/>
        </w:rPr>
        <w:t xml:space="preserve">A low Optionality score may reflect context-bound capability, weak translation, limited exposure, or a combination. It is not a verdict on ability or worth, and it does not measure only who has seen the work.</w:t>
      </w:r>
    </w:p>
    <w:p>
      <w:pPr>
        <w:pStyle w:val="ListParagraph"/>
        <w:numPr>
          <w:ilvl w:val="0"/>
          <w:numId w:val="1"/>
        </w:numPr>
        <w:spacing w:after="60"/>
      </w:pPr>
      <w:r>
        <w:rPr>
          <w:rFonts w:ascii="DM Sans" w:cs="DM Sans" w:eastAsia="DM Sans" w:hAnsi="DM Sans"/>
          <w:sz w:val="19"/>
          <w:szCs w:val="19"/>
        </w:rPr>
        <w:t xml:space="preserve">Promotion can reduce Density. It does not assign a Career State without also reading Optionality.</w:t>
      </w:r>
    </w:p>
    <w:p>
      <w:pPr>
        <w:pStyle w:val="ListParagraph"/>
        <w:numPr>
          <w:ilvl w:val="0"/>
          <w:numId w:val="1"/>
        </w:numPr>
        <w:spacing w:after="60"/>
      </w:pPr>
      <w:r>
        <w:rPr>
          <w:rFonts w:ascii="DM Sans" w:cs="DM Sans" w:eastAsia="DM Sans" w:hAnsi="DM Sans"/>
          <w:sz w:val="19"/>
          <w:szCs w:val="19"/>
        </w:rPr>
        <w:t xml:space="preserve">They calibrated the first reading against a fixed window, a symmetrical evidence standard and named misreadings rather than intuition alone. Not “against something other than themselves”.</w:t>
      </w:r>
    </w:p>
    <w:p>
      <w:pPr>
        <w:pStyle w:val="ListParagraph"/>
        <w:numPr>
          <w:ilvl w:val="0"/>
          <w:numId w:val="1"/>
        </w:numPr>
        <w:spacing w:after="60"/>
      </w:pPr>
      <w:r>
        <w:rPr>
          <w:rFonts w:ascii="DM Sans" w:cs="DM Sans" w:eastAsia="DM Sans" w:hAnsi="DM Sans"/>
          <w:sz w:val="19"/>
          <w:szCs w:val="19"/>
        </w:rPr>
        <w:t xml:space="preserve">Self-assessment has a structural limitation: the same person supplies both the evidence and the judgment. That does not make it useless.</w:t>
      </w:r>
    </w:p>
    <w:p>
      <w:pPr>
        <w:pStyle w:val="ListParagraph"/>
        <w:numPr>
          <w:ilvl w:val="0"/>
          <w:numId w:val="1"/>
        </w:numPr>
        <w:spacing w:after="60"/>
      </w:pPr>
      <w:r>
        <w:rPr>
          <w:rFonts w:ascii="DM Sans" w:cs="DM Sans" w:eastAsia="DM Sans" w:hAnsi="DM Sans"/>
          <w:sz w:val="19"/>
          <w:szCs w:val="19"/>
        </w:rPr>
        <w:t xml:space="preserve">The second reading is more evidence-disciplined and more defensible than the first. No claim of accuracy, reliability, validity, objective truth or independent verification.</w:t>
      </w:r>
    </w:p>
    <w:p>
      <w:pPr>
        <w:pStyle w:val="ListParagraph"/>
        <w:numPr>
          <w:ilvl w:val="0"/>
          <w:numId w:val="1"/>
        </w:numPr>
        <w:spacing w:after="60"/>
      </w:pPr>
      <w:r>
        <w:rPr>
          <w:rFonts w:ascii="DM Sans" w:cs="DM Sans" w:eastAsia="DM Sans" w:hAnsi="DM Sans"/>
          <w:sz w:val="19"/>
          <w:szCs w:val="19"/>
        </w:rPr>
        <w:t xml:space="preserve">Neighbouring-score sensitivity check: an operational pilot convention, bounded by 1 and 5, not a statistical confidence interval.</w:t>
      </w:r>
    </w:p>
    <w:p>
      <w:pPr>
        <w:pStyle w:val="ListParagraph"/>
        <w:numPr>
          <w:ilvl w:val="0"/>
          <w:numId w:val="1"/>
        </w:numPr>
        <w:spacing w:after="60"/>
      </w:pPr>
      <w:r>
        <w:t>Movement and confidence polls are asked as “Did your …?”, not “Whose …?” Movement: “Did at least one of your two axis totals change by two or more points?” Confidence options are Down / No change / Up.</w:t>
      </w:r>
    </w:p>
    <w:p>
      <w:pPr>
        <w:pStyle w:val="ListParagraph"/>
        <w:numPr>
          <w:ilvl w:val="0"/>
          <w:numId w:val="1"/>
        </w:numPr>
        <w:spacing w:after="60"/>
      </w:pPr>
      <w:r>
        <w:t>State-cost wording: Compounding’s cost is that maintaining both axes requires continued renewal and a strong current position can make early slippage easy to miss. Fragile’s cost is that what travels today is no longer being renewed by the work being done now. Do not say a Compounding position is trapped in internal language, and do not say the market has not noticed a Fragile position yet.</w:t>
      </w:r>
    </w:p>
    <w:p>
      <w:pPr>
        <w:pStyle w:val="ListParagraph"/>
        <w:numPr>
          <w:ilvl w:val="0"/>
          <w:numId w:val="1"/>
        </w:numPr>
        <w:spacing w:after="60"/>
      </w:pPr>
      <w:r>
        <w:rPr>
          <w:rFonts w:ascii="DM Sans" w:cs="DM Sans" w:eastAsia="DM Sans" w:hAnsi="DM Sans"/>
          <w:sz w:val="19"/>
          <w:szCs w:val="19"/>
        </w:rPr>
        <w:t xml:space="preserve">Say “small changes matter more near a boundary by construction”, “some participants may interpret Depth Trap as an instruction to leave”, “Optionality can lag a change in Density”, and “illustrative move categories may include”. Do not state these as established findings.</w:t>
      </w:r>
    </w:p>
    <w:p>
      <w:pPr>
        <w:pStyle w:val="ListParagraph"/>
        <w:numPr>
          <w:ilvl w:val="0"/>
          <w:numId w:val="1"/>
        </w:numPr>
        <w:spacing w:after="60"/>
      </w:pPr>
      <w:r>
        <w:rPr>
          <w:rFonts w:ascii="DM Sans" w:cs="DM Sans" w:eastAsia="DM Sans" w:hAnsi="DM Sans"/>
          <w:sz w:val="19"/>
          <w:szCs w:val="19"/>
        </w:rPr>
        <w:t xml:space="preserve">No directive to stay or leave. No certificate. No discount code. No Individual Written Position Read in the public close, and no route to it.</w:t>
      </w:r>
    </w:p>
    <w:p>
      <w:pPr>
        <w:spacing w:after="100" w:before="220"/>
      </w:pPr>
      <w:r>
        <w:rPr>
          <w:rFonts w:ascii="DM Sans" w:cs="DM Sans" w:eastAsia="DM Sans" w:hAnsi="DM Sans"/>
          <w:b/>
          <w:bCs/>
          <w:color w:val="0F2347"/>
          <w:sz w:val="22"/>
          <w:szCs w:val="22"/>
        </w:rPr>
        <w:t xml:space="preserve">7. The March 2026 story</w:t>
      </w:r>
    </w:p>
    <w:p>
      <w:pPr>
        <w:pStyle w:val="ListParagraph"/>
        <w:numPr>
          <w:ilvl w:val="0"/>
          <w:numId w:val="1"/>
        </w:numPr>
        <w:spacing w:after="60"/>
      </w:pPr>
      <w:r>
        <w:rPr>
          <w:rFonts w:ascii="DM Sans" w:cs="DM Sans" w:eastAsia="DM Sans" w:hAnsi="DM Sans"/>
          <w:sz w:val="19"/>
          <w:szCs w:val="19"/>
        </w:rPr>
        <w:t xml:space="preserve">The employer is never named, in the room, in the notes, in the files or in answer to a direct question.</w:t>
      </w:r>
    </w:p>
    <w:p>
      <w:pPr>
        <w:pStyle w:val="ListParagraph"/>
        <w:numPr>
          <w:ilvl w:val="0"/>
          <w:numId w:val="1"/>
        </w:numPr>
        <w:spacing w:after="60"/>
      </w:pPr>
      <w:r>
        <w:rPr>
          <w:rFonts w:ascii="DM Sans" w:cs="DM Sans" w:eastAsia="DM Sans" w:hAnsi="DM Sans"/>
          <w:sz w:val="19"/>
          <w:szCs w:val="19"/>
        </w:rPr>
        <w:t xml:space="preserve">Claim nothing about internal motives, private deliberations, alternatives considered, why the timing occurred, or whether performance influenced treatment, timing or scope.</w:t>
      </w:r>
    </w:p>
    <w:p>
      <w:pPr>
        <w:pStyle w:val="ListParagraph"/>
        <w:numPr>
          <w:ilvl w:val="0"/>
          <w:numId w:val="1"/>
        </w:numPr>
        <w:spacing w:after="60"/>
      </w:pPr>
      <w:r>
        <w:rPr>
          <w:rFonts w:ascii="DM Sans" w:cs="DM Sans" w:eastAsia="DM Sans" w:hAnsi="DM Sans"/>
          <w:sz w:val="19"/>
          <w:szCs w:val="19"/>
        </w:rPr>
        <w:t xml:space="preserve">Several factual statements in the current script await the founder’s confirmation and are listed in the QA report as Requires user confirmation. Do not deliver the unconfirmed lines.</w:t>
      </w:r>
    </w:p>
    <w:p>
      <w:pPr>
        <w:pStyle w:val="ListParagraph"/>
        <w:numPr>
          <w:ilvl w:val="0"/>
          <w:numId w:val="1"/>
        </w:numPr>
        <w:spacing w:after="60"/>
      </w:pPr>
      <w:r>
        <w:t>The opening remit is described as “the first person appointed into the remit and its sole holder”. The internal confirmation markup has been removed from the live deck notes; the line-by-line basis and status live in the Story Evidence Table.</w:t>
      </w:r>
    </w:p>
    <w:p>
      <w:pPr>
        <w:spacing w:after="100" w:before="220"/>
      </w:pPr>
      <w:r>
        <w:rPr>
          <w:rFonts w:ascii="DM Sans" w:cs="DM Sans" w:eastAsia="DM Sans" w:hAnsi="DM Sans"/>
          <w:b/>
          <w:bCs/>
          <w:color w:val="0F2347"/>
          <w:sz w:val="22"/>
          <w:szCs w:val="22"/>
        </w:rPr>
        <w:t xml:space="preserve">8. After the session, within twenty-four hours</w:t>
      </w:r>
    </w:p>
    <w:p>
      <w:pPr>
        <w:pStyle w:val="ListParagraph"/>
        <w:numPr>
          <w:ilvl w:val="0"/>
          <w:numId w:val="1"/>
        </w:numPr>
        <w:spacing w:after="60"/>
      </w:pPr>
      <w:r>
        <w:rPr>
          <w:rFonts w:ascii="DM Sans" w:cs="DM Sans" w:eastAsia="DM Sans" w:hAnsi="DM Sans"/>
          <w:sz w:val="19"/>
          <w:szCs w:val="19"/>
        </w:rPr>
        <w:t xml:space="preserve">Write up the anonymized room-level counts.</w:t>
      </w:r>
    </w:p>
    <w:p>
      <w:pPr>
        <w:pStyle w:val="ListParagraph"/>
        <w:numPr>
          <w:ilvl w:val="0"/>
          <w:numId w:val="1"/>
        </w:numPr>
        <w:spacing w:after="60"/>
      </w:pPr>
      <w:r>
        <w:rPr>
          <w:rFonts w:ascii="DM Sans" w:cs="DM Sans" w:eastAsia="DM Sans" w:hAnsi="DM Sans"/>
          <w:sz w:val="19"/>
          <w:szCs w:val="19"/>
        </w:rPr>
        <w:t xml:space="preserve">Send the Field Kit and the Complete Session Record.</w:t>
      </w:r>
    </w:p>
    <w:p>
      <w:pPr>
        <w:pStyle w:val="ListParagraph"/>
        <w:numPr>
          <w:ilvl w:val="0"/>
          <w:numId w:val="1"/>
        </w:numPr>
        <w:spacing w:after="60"/>
      </w:pPr>
      <w:r>
        <w:rPr>
          <w:rFonts w:ascii="DM Sans" w:cs="DM Sans" w:eastAsia="DM Sans" w:hAnsi="DM Sans"/>
          <w:sz w:val="19"/>
          <w:szCs w:val="19"/>
        </w:rPr>
        <w:t xml:space="preserve">Send the teaching-only replay if recording was used. Live scoring, discussion, voluntary reads and working time are never recorded.</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2026-08-01T22:24:49.510Z</dcterms:created>
  <dcterms:modified xsi:type="dcterms:W3CDTF">2026-08-01T22:24:49.510Z</dcterms:modified>
</cp:coreProperties>
</file>

<file path=docProps/custom.xml><?xml version="1.0" encoding="utf-8"?>
<Properties xmlns="http://schemas.openxmlformats.org/officeDocument/2006/custom-properties" xmlns:vt="http://schemas.openxmlformats.org/officeDocument/2006/docPropsVTypes"/>
</file>