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CAPABILITY FORMATION FREE LIGHTNING LESSON</w:t>
      </w:r>
    </w:p>
    <w:p>
      <w:pPr>
        <w:spacing w:after="40" w:before="0" w:line="252" w:lineRule="auto"/>
      </w:pPr>
      <w:r>
        <w:rPr>
          <w:rFonts w:ascii="Georgia" w:hAnsi="Georgia" w:cs="Georgia"/>
          <w:b w:val="0"/>
          <w:i w:val="0"/>
          <w:color w:val="0F2347"/>
          <w:sz w:val="48"/>
        </w:rPr>
        <w:t>How to Tell If Your Career Is Stalling</w:t>
      </w:r>
    </w:p>
    <w:p>
      <w:pPr>
        <w:spacing w:after="200" w:before="0" w:line="312" w:lineRule="auto"/>
      </w:pPr>
      <w:r>
        <w:rPr>
          <w:rFonts w:ascii="Georgia" w:hAnsi="Georgia" w:cs="Georgia"/>
          <w:b w:val="0"/>
          <w:i/>
          <w:color w:val="4A4A4A"/>
          <w:sz w:val="28"/>
        </w:rPr>
        <w:t>Facilitator guide, train-the-trainer notes, and 45-minute run of show — v3.1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0" w:line="312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Session purpose: Help capable professionals recognize three ways their current role may have stopped building skills and future options, without administering the paid instrument. The session delivers a complete miniature transformation on its own — recognition, a tested distinction, and a completed artifact — not just a reason to buy the workshop.</w:t>
      </w:r>
    </w:p>
    <w:p>
      <w:pPr>
        <w:spacing w:after="120" w:before="0" w:line="312" w:lineRule="auto"/>
      </w:pPr>
      <w:r>
        <w:rPr>
          <w:rFonts w:ascii="DM Sans" w:hAnsi="DM Sans" w:cs="DM Sans"/>
          <w:b/>
          <w:i w:val="0"/>
          <w:color w:val="1A1A1A"/>
          <w:sz w:val="22"/>
        </w:rPr>
        <w:t>Positioning rule: The free lesson creates recognition. The paid workshop performs assessment and decision-making.</w:t>
      </w:r>
    </w:p>
    <w:p>
      <w:pPr>
        <w:spacing w:after="4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Public Maven title: How to Tell If Your Career Is Stalling</w:t>
      </w:r>
    </w:p>
    <w:p>
      <w:pPr>
        <w:spacing w:after="4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Brand line: A Capability Formation Lightning Lesson</w:t>
      </w:r>
    </w:p>
    <w:p>
      <w:pPr>
        <w:spacing w:after="4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Duration: 45 minutes</w:t>
      </w:r>
    </w:p>
    <w:p>
      <w:pPr>
        <w:spacing w:after="16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Linked product: Decide Whether to Stay or Leave Your Job | A Live Career Growth Assessment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1. OFFER ARCHITECTURE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872"/>
          </w:tcPr>
          <w:p>
            <w:r/>
            <w:r>
              <w:rPr>
                <w:rFonts w:ascii="DM Sans" w:hAnsi="DM Sans"/>
                <w:b/>
                <w:sz w:val="19"/>
              </w:rPr>
              <w:t>Offer</w:t>
            </w:r>
          </w:p>
        </w:tc>
        <w:tc>
          <w:tcPr>
            <w:tcW w:type="dxa" w:w="1584"/>
          </w:tcPr>
          <w:p>
            <w:r/>
            <w:r>
              <w:rPr>
                <w:rFonts w:ascii="DM Sans" w:hAnsi="DM Sans"/>
                <w:b/>
                <w:sz w:val="19"/>
              </w:rPr>
              <w:t>Public job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b/>
                <w:sz w:val="19"/>
              </w:rPr>
              <w:t>What it includes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b/>
                <w:sz w:val="19"/>
              </w:rPr>
              <w:t>What it does not include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DM Sans" w:hAnsi="DM Sans"/>
                <w:sz w:val="19"/>
              </w:rPr>
              <w:t>Free Lightning Lesson</w:t>
            </w:r>
          </w:p>
        </w:tc>
        <w:tc>
          <w:tcPr>
            <w:tcW w:type="dxa" w:w="1584"/>
          </w:tcPr>
          <w:p>
            <w:r/>
            <w:r>
              <w:rPr>
                <w:rFonts w:ascii="DM Sans" w:hAnsi="DM Sans"/>
                <w:sz w:val="19"/>
              </w:rPr>
              <w:t>Recognition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sz w:val="19"/>
              </w:rPr>
              <w:t>Three signs, a personal-evidence moment, per-sign quick checks, a completed Career Stall Check, Q&amp;A, bridge to workshop.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sz w:val="19"/>
              </w:rPr>
              <w:t>No 12-statement instrument, no evidence protocol, no Four States placement, no Next-Move Decision.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DM Sans" w:hAnsi="DM Sans"/>
                <w:sz w:val="19"/>
              </w:rPr>
              <w:t>Paid Workshop</w:t>
            </w:r>
          </w:p>
        </w:tc>
        <w:tc>
          <w:tcPr>
            <w:tcW w:type="dxa" w:w="1584"/>
          </w:tcPr>
          <w:p>
            <w:r/>
            <w:r>
              <w:rPr>
                <w:rFonts w:ascii="DM Sans" w:hAnsi="DM Sans"/>
                <w:sz w:val="19"/>
              </w:rPr>
              <w:t>Assessment and decision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sz w:val="19"/>
              </w:rPr>
              <w:t>Full Capability Position Read, two scoring passes, evidence-backed correction, provisional placement, Next-Move Decision, Field Kit process.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sz w:val="19"/>
              </w:rPr>
              <w:t>No legal, tax, financial, compensation, mental-health, immigration, or individualized employment advice.</w:t>
            </w:r>
          </w:p>
        </w:tc>
      </w:tr>
    </w:tbl>
    <w:p>
      <w:pP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2. WHAT CHANGED SINCE v2 (READ THIS FIRST)</w:t>
      </w:r>
    </w:p>
    <w:p>
      <w:pPr>
        <w:spacing w:after="12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This is not a light edit of the v2 guide. The lesson architecture changed to deliver a complete experience rather than mostly building a case for the paid workshop. If you delivered from the v2 guide before, note the following before you rehearse v3.1: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Boundary compressed. </w:t>
      </w:r>
      <w:r>
        <w:rPr>
          <w:rFonts w:ascii="DM Sans" w:hAnsi="DM Sans" w:cs="DM Sans"/>
          <w:b w:val="0"/>
          <w:i w:val="0"/>
          <w:color w:val="1A1A1A"/>
          <w:sz w:val="22"/>
        </w:rPr>
        <w:t>The boundary is now stated once, briefly, at minute 1 — not as a three-part slide repeated in spirit throughout the deck.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Personal story added. </w:t>
      </w:r>
      <w:r>
        <w:rPr>
          <w:rFonts w:ascii="DM Sans" w:hAnsi="DM Sans" w:cs="DM Sans"/>
          <w:b w:val="0"/>
          <w:i w:val="0"/>
          <w:color w:val="1A1A1A"/>
          <w:sz w:val="22"/>
        </w:rPr>
        <w:t>A restrained 60-90 second story now opens the substantive teaching, landing the line "A role can reward you long after it stops building you."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Density/Optionality moved. </w:t>
      </w:r>
      <w:r>
        <w:rPr>
          <w:rFonts w:ascii="DM Sans" w:hAnsi="DM Sans" w:cs="DM Sans"/>
          <w:b w:val="0"/>
          <w:i w:val="0"/>
          <w:color w:val="1A1A1A"/>
          <w:sz w:val="22"/>
        </w:rPr>
        <w:t>Density and Optionality are no longer taught as early core vocabulary. They are named once, briefly, in the paid-workshop bridge.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Sign titles changed. </w:t>
      </w:r>
      <w:r>
        <w:rPr>
          <w:rFonts w:ascii="DM Sans" w:hAnsi="DM Sans" w:cs="DM Sans"/>
          <w:b w:val="0"/>
          <w:i w:val="0"/>
          <w:color w:val="1A1A1A"/>
          <w:sz w:val="22"/>
        </w:rPr>
        <w:t>Sign titles are new: "You Are Repeating, Not Stretching," "You Are Indispensable, but Mainly Here," "Your Responsibility Is Growing Faster Than Your Capability."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Interactions redistributed. </w:t>
      </w:r>
      <w:r>
        <w:rPr>
          <w:rFonts w:ascii="DM Sans" w:hAnsi="DM Sans" w:cs="DM Sans"/>
          <w:b w:val="0"/>
          <w:i w:val="0"/>
          <w:color w:val="1A1A1A"/>
          <w:sz w:val="22"/>
        </w:rPr>
        <w:t>Each sign now ends with its own 30-45 second quick check, replacing the single post-Sign-1 silent reflection pause.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Recognition exercise renamed. </w:t>
      </w:r>
      <w:r>
        <w:rPr>
          <w:rFonts w:ascii="DM Sans" w:hAnsi="DM Sans" w:cs="DM Sans"/>
          <w:b w:val="0"/>
          <w:i w:val="0"/>
          <w:color w:val="1A1A1A"/>
          <w:sz w:val="22"/>
        </w:rPr>
        <w:t>The old three-question recognition exercise is now the four-field Career Stall Check, matching a standalone one-page participant artifact.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AI application shortened. </w:t>
      </w:r>
      <w:r>
        <w:rPr>
          <w:rFonts w:ascii="DM Sans" w:hAnsi="DM Sans" w:cs="DM Sans"/>
          <w:b w:val="0"/>
          <w:i w:val="0"/>
          <w:color w:val="1A1A1A"/>
          <w:sz w:val="22"/>
        </w:rPr>
        <w:t>It now carries a single permitted sentence in the core (during Interpret Without Diagnosing); the fuller AI slide moved to an untimed appendix.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Paid-workshop bridge expanded to two slides. </w:t>
      </w:r>
      <w:r>
        <w:rPr>
          <w:rFonts w:ascii="DM Sans" w:hAnsi="DM Sans" w:cs="DM Sans"/>
          <w:b w:val="0"/>
          <w:i w:val="0"/>
          <w:color w:val="1A1A1A"/>
          <w:sz w:val="22"/>
        </w:rPr>
        <w:t>"This Was One Piece" and the Invitation slide, including the exact $249 format and a quiet secondary Substack route.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New Q&amp;A boundary line. </w:t>
      </w:r>
      <w:r>
        <w:rPr>
          <w:rFonts w:ascii="DM Sans" w:hAnsi="DM Sans" w:cs="DM Sans"/>
          <w:b w:val="0"/>
          <w:i w:val="0"/>
          <w:color w:val="1A1A1A"/>
          <w:sz w:val="22"/>
        </w:rPr>
        <w:t>"I can help you clarify what the pattern suggests examining. I cannot make the employment decision for you."</w:t>
      </w:r>
    </w:p>
    <w:p>
      <w:pPr>
        <w:spacing w:after="80" w:before="0" w:line="312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</w:r>
    </w:p>
    <w:p>
      <w:pPr>
        <w:spacing w:after="120" w:before="200" w:line="312" w:lineRule="auto"/>
      </w:pPr>
      <w:r>
        <w:rPr>
          <w:rFonts w:ascii="DM Sans" w:hAnsi="DM Sans" w:cs="DM Sans"/>
          <w:b/>
          <w:i w:val="0"/>
          <w:color w:val="C1440E"/>
          <w:sz w:val="18"/>
          <w:spacing w:val="40"/>
        </w:rPr>
        <w:t>WHAT CHANGED IN v3.1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Maven master copy aligned. </w:t>
      </w:r>
      <w:r>
        <w:rPr>
          <w:rFonts w:ascii="DM Sans" w:hAnsi="DM Sans" w:cs="DM Sans"/>
          <w:b w:val="0"/>
          <w:i w:val="0"/>
          <w:color w:val="1A1A1A"/>
          <w:sz w:val="22"/>
        </w:rPr>
        <w:t>The Maven master copy's internal run-of-show table previously showed Q&amp;A before the paid-workshop bridge, out of sync with this lesson's actual sequence. It has now been corrected to match — see Maven_Offer_Naming_and_Landing_Page_Master_Copy_v3_Aligned.docx. No content in the deck or this guide changed as a result; v3.1 republishes the v3.0 family unchanged so all files carry the same version number.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3. REVISED 45-MINUTE RUN OF SHOW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440"/>
          </w:tcPr>
          <w:p>
            <w:r/>
            <w:r>
              <w:rPr>
                <w:rFonts w:ascii="DM Sans" w:hAnsi="DM Sans"/>
                <w:b/>
                <w:sz w:val="19"/>
              </w:rPr>
              <w:t>Time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b/>
                <w:sz w:val="19"/>
              </w:rPr>
              <w:t>Slide(s)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b/>
                <w:sz w:val="19"/>
              </w:rPr>
              <w:t>Segment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b/>
                <w:sz w:val="19"/>
              </w:rPr>
              <w:t>Facilitator instruction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0:00-1:00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Title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Welcome. State plainly this is a 45-minute recognition lesson, not a diagnostic.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1:00-1:30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2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Boundary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Read the single boundary statement once, plainly. Do not repeat it later.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1:30-3:00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Opening poll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Poll in chat or Maven/Zoom. Choose the nearest reason, no explanation.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3:00-5:00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4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What you'll leave with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Three outcomes: the difference, the Career Stall Check, the next question.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5:00-6:30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Personal story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60-90 seconds. Tell it exactly as written. See guardrails in Section 4.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6:30-8:00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6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Central insight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Land "A role can reward you long after it stops building you." Let it sit.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8:00-13:00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Sign 1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You Are Repeating, Not Stretching. Test question, then 30-45s quick check.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13:00-18:00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8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Sign 2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You Are Indispensable, but Mainly Here. Test question, then quick check.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18:00-23:00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9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Sign 3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Responsibility growing faster than capability. Test question, then quick check.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23:00-28:00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10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Career Stall Check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Five quiet minutes. Participants complete the four-field artifact privately.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28:00-31:00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11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Interpret without diagnosing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Familiarity is a signal, not a diagnosis. Deliver the one AI sentence here.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31:00-32:30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Bridge 1 — This was one piece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Factual comparison. Name Density and Optionality for the first time here.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32:30-34:00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Bridge 2 — Invitation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State the workshop plainly. Point to the CTA once. Keep this slide up.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34:00-45:00</w:t>
            </w:r>
          </w:p>
        </w:tc>
        <w:tc>
          <w:tcPr>
            <w:tcW w:type="dxa" w:w="864"/>
          </w:tcPr>
          <w:p>
            <w:r/>
            <w:r>
              <w:rPr>
                <w:rFonts w:ascii="DM Sans" w:hAnsi="DM Sans"/>
                <w:sz w:val="19"/>
              </w:rPr>
              <w:t>14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Q&amp;A</w:t>
            </w:r>
          </w:p>
        </w:tc>
        <w:tc>
          <w:tcPr>
            <w:tcW w:type="dxa" w:w="4464"/>
          </w:tcPr>
          <w:p>
            <w:r/>
            <w:r>
              <w:rPr>
                <w:rFonts w:ascii="DM Sans" w:hAnsi="DM Sans"/>
                <w:sz w:val="19"/>
              </w:rPr>
              <w:t>Eleven minutes. Keep the registration strip visible. Use the boundary line.</w:t>
            </w:r>
          </w:p>
        </w:tc>
      </w:tr>
    </w:tbl>
    <w:p>
      <w:pPr>
        <w:spacing w:after="120"/>
      </w:pPr>
    </w:p>
    <w:p>
      <w:pPr>
        <w:spacing w:after="160" w:before="0" w:line="312" w:lineRule="auto"/>
      </w:pPr>
      <w:r>
        <w:rPr>
          <w:rFonts w:ascii="DM Sans" w:hAnsi="DM Sans" w:cs="DM Sans"/>
          <w:b w:val="0"/>
          <w:i/>
          <w:color w:val="C1440E"/>
          <w:sz w:val="21"/>
        </w:rPr>
        <w:t>Hard constraint: Sign 1 must begin no later than minute 8. The workshop invitation must occur before Q&amp;A. During Q&amp;A, keep the registration strip visible on slide 14 — do not navigate away from it.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4. PERSONAL STORY GUARDRAILS (SLIDE 5)</w:t>
      </w:r>
    </w:p>
    <w:p>
      <w:pPr>
        <w:spacing w:after="40" w:before="0" w:line="312" w:lineRule="auto"/>
      </w:pPr>
      <w:r>
        <w:rPr>
          <w:rFonts w:ascii="DM Sans" w:hAnsi="DM Sans" w:cs="DM Sans"/>
          <w:b/>
          <w:i w:val="0"/>
          <w:color w:val="1A1A1A"/>
          <w:sz w:val="21"/>
        </w:rPr>
        <w:t>Preserve this line exactly:</w:t>
      </w:r>
    </w:p>
    <w:p>
      <w:pPr>
        <w:spacing w:after="160" w:before="0" w:line="312" w:lineRule="auto"/>
      </w:pPr>
      <w:r>
        <w:rPr>
          <w:rFonts w:ascii="Georgia" w:hAnsi="Georgia" w:cs="Georgia"/>
          <w:b w:val="0"/>
          <w:i/>
          <w:color w:val="0F2347"/>
          <w:sz w:val="26"/>
        </w:rPr>
        <w:t>“My performance had shaped my standing. It had not insulated the role from a change in structure.”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name the former employer.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name any individual.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allege motive.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use grievance language.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turn this into a therapeutic disclosure.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overexplain the mechanics of the role elimination.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diagnose your own former Career State — this predates the framework and is not being retrofit onto it here.</w:t>
      </w:r>
    </w:p>
    <w:p>
      <w:pPr>
        <w:spacing w:after="120" w:before="0" w:line="312" w:lineRule="auto"/>
      </w:pPr>
      <w:r>
        <w:rPr>
          <w:rFonts w:ascii="DM Sans" w:hAnsi="DM Sans" w:cs="DM Sans"/>
          <w:b w:val="0"/>
          <w:i/>
          <w:color w:val="1A1A1A"/>
          <w:sz w:val="21"/>
        </w:rPr>
        <w:t>Tone: reflective, restrained, specific, instructional. This is evidence for a distinction, not a confession. If a participant asks for more detail afterward, do not supply it — the story exists to motivate the distinction, not to invite follow-up questions about your history.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5. THE THREE SIGNS</w:t>
      </w:r>
    </w:p>
    <w:p>
      <w:pPr>
        <w:spacing w:after="60" w:before="160" w:line="312" w:lineRule="auto"/>
      </w:pPr>
      <w:r>
        <w:rPr>
          <w:rFonts w:ascii="Georgia" w:hAnsi="Georgia" w:cs="Georgia"/>
          <w:b/>
          <w:i w:val="0"/>
          <w:color w:val="0F2347"/>
          <w:sz w:val="30"/>
        </w:rPr>
        <w:t>Sign 1. You Are Repeating, Not Stretching</w:t>
      </w:r>
    </w:p>
    <w:p>
      <w:pPr>
        <w:spacing w:after="8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You may be performing at a high level, but the work is no longer asking you to solve meaningfully unfamiliar problems.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The test: </w:t>
      </w:r>
      <w:r>
        <w:rPr>
          <w:rFonts w:ascii="Georgia" w:hAnsi="Georgia" w:cs="Georgia"/>
          <w:b w:val="0"/>
          <w:i/>
          <w:color w:val="0F2347"/>
          <w:sz w:val="23"/>
        </w:rPr>
        <w:t>What problem have you solved in the last 90 days that you genuinely did not already know how to solve?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Quick check (30-45s): </w:t>
      </w:r>
      <w:r>
        <w:rPr>
          <w:rFonts w:ascii="DM Sans" w:hAnsi="DM Sans" w:cs="DM Sans"/>
          <w:b w:val="0"/>
          <w:i/>
          <w:color w:val="1A1A1A"/>
          <w:sz w:val="21"/>
        </w:rPr>
        <w:t>In one word, is your recent work stretching, repeating, or unclear?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Example to use if the room is quiet: </w:t>
      </w:r>
      <w:r>
        <w:rPr>
          <w:rFonts w:ascii="DM Sans" w:hAnsi="DM Sans" w:cs="DM Sans"/>
          <w:b w:val="0"/>
          <w:i w:val="0"/>
          <w:color w:val="1A1A1A"/>
          <w:sz w:val="21"/>
        </w:rPr>
        <w:t>A person can lead the same decision forum more smoothly each quarter without meeting a problem they do not already know how to solve.</w:t>
      </w:r>
    </w:p>
    <w:p>
      <w:pPr>
        <w:spacing w:after="160" w:before="0" w:line="312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Watch for: </w:t>
      </w:r>
      <w:r>
        <w:rPr>
          <w:rFonts w:ascii="DM Sans" w:hAnsi="DM Sans" w:cs="DM Sans"/>
          <w:b w:val="0"/>
          <w:i w:val="0"/>
          <w:color w:val="1A1A1A"/>
          <w:sz w:val="21"/>
        </w:rPr>
        <w:t>Do not imply high performance is fake. It is real. It is simply a different signal than formation.</w:t>
      </w:r>
    </w:p>
    <w:p>
      <w:pPr>
        <w:spacing w:after="60" w:before="160" w:line="312" w:lineRule="auto"/>
      </w:pPr>
      <w:r>
        <w:rPr>
          <w:rFonts w:ascii="Georgia" w:hAnsi="Georgia" w:cs="Georgia"/>
          <w:b/>
          <w:i w:val="0"/>
          <w:color w:val="0F2347"/>
          <w:sz w:val="30"/>
        </w:rPr>
        <w:t>Sign 2. You Are Indispensable, but Mainly Here</w:t>
      </w:r>
    </w:p>
    <w:p>
      <w:pPr>
        <w:spacing w:after="8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The organization relies on you, but your value may be increasingly tied to its systems, internal language, relationships, processes, or history.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The test: </w:t>
      </w:r>
      <w:r>
        <w:rPr>
          <w:rFonts w:ascii="Georgia" w:hAnsi="Georgia" w:cs="Georgia"/>
          <w:b w:val="0"/>
          <w:i/>
          <w:color w:val="0F2347"/>
          <w:sz w:val="23"/>
        </w:rPr>
        <w:t>Could someone outside your company explain your value without using your title or internal company language?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Quick check (30-45s): </w:t>
      </w:r>
      <w:r>
        <w:rPr>
          <w:rFonts w:ascii="DM Sans" w:hAnsi="DM Sans" w:cs="DM Sans"/>
          <w:b w:val="0"/>
          <w:i/>
          <w:color w:val="1A1A1A"/>
          <w:sz w:val="21"/>
        </w:rPr>
        <w:t>Which has grown fastest: internal dependence, external visibility, or both?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Example to use if the room is quiet: </w:t>
      </w:r>
      <w:r>
        <w:rPr>
          <w:rFonts w:ascii="DM Sans" w:hAnsi="DM Sans" w:cs="DM Sans"/>
          <w:b w:val="0"/>
          <w:i w:val="0"/>
          <w:color w:val="1A1A1A"/>
          <w:sz w:val="21"/>
        </w:rPr>
        <w:t>A person can become essential to a system while their external story becomes harder to explain to someone outside it.</w:t>
      </w:r>
    </w:p>
    <w:p>
      <w:pPr>
        <w:spacing w:after="160" w:before="0" w:line="312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Watch for: </w:t>
      </w:r>
      <w:r>
        <w:rPr>
          <w:rFonts w:ascii="DM Sans" w:hAnsi="DM Sans" w:cs="DM Sans"/>
          <w:b w:val="0"/>
          <w:i w:val="0"/>
          <w:color w:val="1A1A1A"/>
          <w:sz w:val="21"/>
        </w:rPr>
        <w:t>Do not call indispensability a trap. It can be earned and valuable. The risk is assuming it automatically travels.</w:t>
      </w:r>
    </w:p>
    <w:p>
      <w:pPr>
        <w:spacing w:after="60" w:before="160" w:line="312" w:lineRule="auto"/>
      </w:pPr>
      <w:r>
        <w:rPr>
          <w:rFonts w:ascii="Georgia" w:hAnsi="Georgia" w:cs="Georgia"/>
          <w:b/>
          <w:i w:val="0"/>
          <w:color w:val="0F2347"/>
          <w:sz w:val="30"/>
        </w:rPr>
        <w:t>Sign 3. Your Responsibility Is Growing Faster Than Your Capability</w:t>
      </w:r>
    </w:p>
    <w:p>
      <w:pPr>
        <w:spacing w:after="8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Your title, scope, and expectations may be increasing while the range of judgment, unfamiliar problems, or transferable capability being formed in you is narrowing.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The test: </w:t>
      </w:r>
      <w:r>
        <w:rPr>
          <w:rFonts w:ascii="Georgia" w:hAnsi="Georgia" w:cs="Georgia"/>
          <w:b w:val="0"/>
          <w:i/>
          <w:color w:val="0F2347"/>
          <w:sz w:val="23"/>
        </w:rPr>
        <w:t>What capability do you have now that you did not have before your responsibilities increased?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Quick check (30-45s): </w:t>
      </w:r>
      <w:r>
        <w:rPr>
          <w:rFonts w:ascii="DM Sans" w:hAnsi="DM Sans" w:cs="DM Sans"/>
          <w:b w:val="0"/>
          <w:i/>
          <w:color w:val="1A1A1A"/>
          <w:sz w:val="21"/>
        </w:rPr>
        <w:t>Which has grown faster: responsibility, learning, or visibility?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Example to use if the room is quiet: </w:t>
      </w:r>
      <w:r>
        <w:rPr>
          <w:rFonts w:ascii="DM Sans" w:hAnsi="DM Sans" w:cs="DM Sans"/>
          <w:b w:val="0"/>
          <w:i w:val="0"/>
          <w:color w:val="1A1A1A"/>
          <w:sz w:val="21"/>
        </w:rPr>
        <w:t>A promotion can move a person into approvals, representation, and familiar judgment rather than new capability.</w:t>
      </w:r>
    </w:p>
    <w:p>
      <w:pPr>
        <w:spacing w:after="160" w:before="0" w:line="312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Watch for: </w:t>
      </w:r>
      <w:r>
        <w:rPr>
          <w:rFonts w:ascii="DM Sans" w:hAnsi="DM Sans" w:cs="DM Sans"/>
          <w:b w:val="0"/>
          <w:i w:val="0"/>
          <w:color w:val="1A1A1A"/>
          <w:sz w:val="21"/>
        </w:rPr>
        <w:t>This is not an argument against accepting promotions. It is an argument against assuming title growth is automatically capability growth.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6. CAREER STALL CHECK INSTRUCTIONS (SLIDE 10, 23:00-28:00)</w:t>
      </w:r>
    </w:p>
    <w:p>
      <w:pPr>
        <w:spacing w:after="12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Five quiet minutes. Direct participants to the standalone Career Stall Check handout (Career_Stall_Check_v1.0). They complete four fields privately: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Which sign is most present for me?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What is one example from the last 90 days? — a lived example, not a plan, promise, title, or feeling.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What capability, learning, or future option may not be growing? — name the specific thing, not a general sense that something is off.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What is the next question I need to investigate?</w:t>
      </w:r>
    </w:p>
    <w:p>
      <w:pPr>
        <w:spacing w:after="120" w:before="0" w:line="312" w:lineRule="auto"/>
      </w:pPr>
      <w:r>
        <w:rPr>
          <w:rFonts w:ascii="DM Sans" w:hAnsi="DM Sans" w:cs="DM Sans"/>
          <w:b w:val="0"/>
          <w:i/>
          <w:color w:val="1A1A1A"/>
          <w:sz w:val="21"/>
        </w:rPr>
        <w:t>No one is called on. Do not offer to review anyone's answers live, in chat, or after the session. If asked whether this produces a score or placement, redirect calmly: “That is what the full Position Read does. This is recognition.”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7. INTERPRETATION WITHOUT DIAGNOSIS (SLIDE 11, 28:00-31:00)</w:t>
      </w:r>
    </w:p>
    <w:p>
      <w:pPr>
        <w:spacing w:after="120" w:before="0" w:line="312" w:lineRule="auto"/>
      </w:pPr>
      <w:r>
        <w:rPr>
          <w:rFonts w:ascii="DM Sans" w:hAnsi="DM Sans" w:cs="DM Sans"/>
          <w:b/>
          <w:i w:val="0"/>
          <w:color w:val="1A1A1A"/>
          <w:sz w:val="21"/>
        </w:rPr>
        <w:t>Do not let the Career Stall Check become a verdict. Familiarity with a sign is a signal, not a diagnosis.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If one sign felt familiar, that does not mean the participant should leave.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If none felt familiar, that does not mean the role is fully compounding.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Recognition tells a participant what may deserve examination. Assessment is what turns the observation into a more defensible read.</w:t>
      </w:r>
    </w:p>
    <w:p>
      <w:pPr>
        <w:spacing w:after="120" w:before="0" w:line="312" w:lineRule="auto"/>
      </w:pPr>
      <w:r>
        <w:rPr>
          <w:rFonts w:ascii="DM Sans" w:hAnsi="DM Sans" w:cs="DM Sans"/>
          <w:b w:val="0"/>
          <w:i/>
          <w:color w:val="1A1A1A"/>
          <w:sz w:val="21"/>
        </w:rPr>
        <w:t>Deliver the single permitted AI sentence here, once, without expanding into a tools discussion: “As routine output becomes easier to reproduce, the distinction between familiar performance and growing judgment becomes more consequential.” If someone asks which AI tool to use, decline: “That's outside today's scope — this is about the reading, not the tools.”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8. THE PAID-WORKSHOP BRIDGE (SLIDES 12-13, 31:00-34:00)</w:t>
      </w:r>
    </w:p>
    <w:p>
      <w:pPr>
        <w:spacing w:after="12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This is factual, not a hard sell. Slide 12 names Density and Optionality for the first and only time in the core session — this is the one place they belong. Read the eight-deliverable comparison once and move; do not overexplain each item.</w:t>
      </w:r>
    </w:p>
    <w:p>
      <w:pPr>
        <w:spacing w:after="12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Slide 13 states the workshop plainly: two hours live, 105-minute guided Capability Position Read, 15-minute Q&amp;A and applications, Field Kit included, 30-day evidence process, 90-day rescore, 15 seats, $249 public launch price. Point to the registration CTA once, clearly, and keep this slide visible through Q&amp;A.</w:t>
      </w:r>
    </w:p>
    <w:p>
      <w:pPr>
        <w:spacing w:after="120" w:before="0" w:line="312" w:lineRule="auto"/>
      </w:pPr>
      <w:r>
        <w:rPr>
          <w:rFonts w:ascii="DM Sans" w:hAnsi="DM Sans" w:cs="DM Sans"/>
          <w:b/>
          <w:i w:val="0"/>
          <w:color w:val="C1440E"/>
          <w:sz w:val="21"/>
        </w:rPr>
        <w:t>$249 is the public launch price for the first two paid deliveries. It is not a founding discount. Do not reference the retired $99 or $149 prices. Do not describe the workshop as a one-day workshop — it is two hours live.</w:t>
      </w:r>
    </w:p>
    <w:p>
      <w:pPr>
        <w:spacing w:after="120" w:before="0" w:line="312" w:lineRule="auto"/>
      </w:pPr>
      <w:r>
        <w:rPr>
          <w:rFonts w:ascii="DM Sans" w:hAnsi="DM Sans" w:cs="DM Sans"/>
          <w:b w:val="0"/>
          <w:i/>
          <w:color w:val="1A1A1A"/>
          <w:sz w:val="21"/>
        </w:rPr>
        <w:t>Mention the quiet secondary route once, without competing with the primary CTA: “Not ready for the full read? Subscribe to Capability Formation.”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9. TRAIN-THE-TRAINER: FACILITATOR STANCE</w:t>
      </w:r>
    </w:p>
    <w:p>
      <w:pPr>
        <w:spacing w:after="160" w:before="0" w:line="312" w:lineRule="auto"/>
      </w:pPr>
      <w:r>
        <w:rPr>
          <w:rFonts w:ascii="DM Sans" w:hAnsi="DM Sans" w:cs="DM Sans"/>
          <w:b/>
          <w:i w:val="0"/>
          <w:color w:val="1A1A1A"/>
          <w:sz w:val="22"/>
        </w:rPr>
        <w:t>Calm, diagnostic, restrained. The session should feel like a careful reading of work, not motivational coaching or a sales webinar.</w:t>
      </w:r>
    </w:p>
    <w:p>
      <w:pPr>
        <w:spacing w:after="80" w:before="0" w:line="312" w:lineRule="auto"/>
      </w:pPr>
      <w:r>
        <w:rPr>
          <w:rFonts w:ascii="DM Sans" w:hAnsi="DM Sans" w:cs="DM Sans"/>
          <w:b/>
          <w:i w:val="0"/>
          <w:color w:val="C9A84C"/>
          <w:sz w:val="21"/>
          <w:spacing w:val="30"/>
        </w:rPr>
        <w:t>What to protect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boundary between recognition and assessment.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three per-sign quick checks — keep each to 30-45 seconds.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five quiet minutes for the Career Stall Check. Do not fill the silence.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paid workshop by not giving a mini-instrument in the free lesson.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participant by avoiding personal career advice in Q&amp;A.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category language: Density and Optionality are named once, in the bridge, at a high level only.</w:t>
      </w:r>
    </w:p>
    <w:p>
      <w:pPr>
        <w:spacing w:after="80" w:before="160" w:line="312" w:lineRule="auto"/>
      </w:pPr>
      <w:r>
        <w:rPr>
          <w:rFonts w:ascii="DM Sans" w:hAnsi="DM Sans" w:cs="DM Sans"/>
          <w:b/>
          <w:i w:val="0"/>
          <w:color w:val="C1440E"/>
          <w:sz w:val="21"/>
          <w:spacing w:val="30"/>
        </w:rPr>
        <w:t>What not to do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mention the 12 statements in the free lesson except when describing what the paid workshop adds.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place anyone into Compounding, Depth Trap, Stagnant, or Fragile.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ask people to share scores, states, employer names, or personal details.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turn the appendix AI content into a tool discussion during the timed session.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tell anyone to stay, leave, confront a manager, or start a job search.</w:t>
      </w:r>
    </w:p>
    <w:p>
      <w:pPr>
        <w:spacing w:after="80" w:before="160" w:line="312" w:lineRule="auto"/>
      </w:pPr>
      <w:r>
        <w:rPr>
          <w:rFonts w:ascii="DM Sans" w:hAnsi="DM Sans" w:cs="DM Sans"/>
          <w:b/>
          <w:i w:val="0"/>
          <w:color w:val="C9A84C"/>
          <w:sz w:val="21"/>
          <w:spacing w:val="30"/>
        </w:rPr>
        <w:t>Q&amp;A redirect lines</w:t>
      </w:r>
    </w:p>
    <w:p>
      <w:pPr>
        <w:spacing w:after="80" w:before="0" w:line="312" w:lineRule="auto"/>
      </w:pPr>
      <w:r>
        <w:rPr>
          <w:rFonts w:ascii="DM Sans" w:hAnsi="DM Sans" w:cs="DM Sans"/>
          <w:b/>
          <w:i w:val="0"/>
          <w:color w:val="1A1A1A"/>
          <w:sz w:val="21"/>
        </w:rPr>
        <w:t xml:space="preserve">Primary boundary line (use this one): </w:t>
      </w:r>
      <w:r>
        <w:rPr>
          <w:rFonts w:ascii="Georgia" w:hAnsi="Georgia" w:cs="Georgia"/>
          <w:b w:val="0"/>
          <w:i/>
          <w:color w:val="0F2347"/>
          <w:sz w:val="24"/>
        </w:rPr>
        <w:t>“I can help you clarify what the pattern suggests examining. I cannot make the employment decision for you.”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“That is exactly what the full Position Read is designed to handle. Today, I can help you recognize the pattern.”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“I cannot read your position from one example in this room. The full workshop uses the evidence protocol for that.”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“That may be a useful signal, but it is not a result yet.”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“Today is recognition. The paid workshop is where we do assessment and decision.”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10. TIME RECOVERY ORDER (INTRODUCED IN v3.0, UNCHANGED IN v3.1)</w:t>
      </w:r>
    </w:p>
    <w:p>
      <w:pPr>
        <w:spacing w:after="12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If running late, recover time in this exact order: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1440E"/>
          <w:sz w:val="22"/>
        </w:rPr>
        <w:t xml:space="preserve">1. </w:t>
      </w:r>
      <w:r>
        <w:rPr>
          <w:rFonts w:ascii="DM Sans" w:hAnsi="DM Sans" w:cs="DM Sans"/>
          <w:b w:val="0"/>
          <w:i w:val="0"/>
          <w:color w:val="1A1A1A"/>
          <w:sz w:val="22"/>
        </w:rPr>
        <w:t>Shorten participant chat debriefs after each quick check.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1440E"/>
          <w:sz w:val="22"/>
        </w:rPr>
        <w:t xml:space="preserve">2. </w:t>
      </w:r>
      <w:r>
        <w:rPr>
          <w:rFonts w:ascii="DM Sans" w:hAnsi="DM Sans" w:cs="DM Sans"/>
          <w:b w:val="0"/>
          <w:i w:val="0"/>
          <w:color w:val="1A1A1A"/>
          <w:sz w:val="22"/>
        </w:rPr>
        <w:t>Reduce examples within a sign — cut the backup example if the room is already engaged.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1440E"/>
          <w:sz w:val="22"/>
        </w:rPr>
        <w:t xml:space="preserve">3. </w:t>
      </w:r>
      <w:r>
        <w:rPr>
          <w:rFonts w:ascii="DM Sans" w:hAnsi="DM Sans" w:cs="DM Sans"/>
          <w:b w:val="0"/>
          <w:i w:val="0"/>
          <w:color w:val="1A1A1A"/>
          <w:sz w:val="22"/>
        </w:rPr>
        <w:t>Shorten the Interpret Without Diagnosing section.</w:t>
      </w:r>
    </w:p>
    <w:p>
      <w:pPr>
        <w:spacing w:after="160" w:before="0" w:line="312" w:lineRule="auto"/>
      </w:pPr>
      <w:r>
        <w:rPr>
          <w:rFonts w:ascii="DM Sans" w:hAnsi="DM Sans" w:cs="DM Sans"/>
          <w:b/>
          <w:i w:val="0"/>
          <w:color w:val="C1440E"/>
          <w:sz w:val="22"/>
        </w:rPr>
        <w:t xml:space="preserve">4. </w:t>
      </w:r>
      <w:r>
        <w:rPr>
          <w:rFonts w:ascii="DM Sans" w:hAnsi="DM Sans" w:cs="DM Sans"/>
          <w:b w:val="0"/>
          <w:i w:val="0"/>
          <w:color w:val="1A1A1A"/>
          <w:sz w:val="22"/>
        </w:rPr>
        <w:t>Reduce Q&amp;A slightly, only as a last resort.</w:t>
      </w:r>
    </w:p>
    <w:p>
      <w:pPr>
        <w:spacing w:after="80" w:before="0" w:line="312" w:lineRule="auto"/>
      </w:pPr>
      <w:r>
        <w:rPr>
          <w:rFonts w:ascii="DM Sans" w:hAnsi="DM Sans" w:cs="DM Sans"/>
          <w:b/>
          <w:i w:val="0"/>
          <w:color w:val="C1440E"/>
          <w:sz w:val="21"/>
        </w:rPr>
        <w:t>Do not cut, under any time pressure: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Any of the three signs.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The Career Stall Check.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The paid-workshop bridge.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The ethical boundary statement.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11. SLIDE-BY-SLIDE DELIVERY NOTES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576"/>
          </w:tcPr>
          <w:p>
            <w:r/>
            <w:r>
              <w:rPr>
                <w:rFonts w:ascii="DM Sans" w:hAnsi="DM Sans"/>
                <w:b/>
                <w:sz w:val="19"/>
              </w:rPr>
              <w:t>Slide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b/>
                <w:sz w:val="19"/>
              </w:rPr>
              <w:t>Name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b/>
                <w:sz w:val="19"/>
              </w:rPr>
              <w:t>Time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b/>
                <w:sz w:val="19"/>
              </w:rPr>
              <w:t>Trainer note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Title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0:00-1:00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Read the title slowly. State this is a 45-minute recognition lesson, not a diagnostic.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Boundary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1:00-1:30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One sentence, read directly. Do not soften it and do not repeat it later.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Opening poll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1:30-3:00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Use the poll options as given. Do not request explanations or analyze answers aloud.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What you'll leave with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3:00-5:00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Three outcomes only. Do not restate the conversion objective as a fourth promise.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Personal story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5:00-6:30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60-90 seconds. Follow the guardrails in Section 4 exactly.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Central insight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6:30-8:00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Let “A role can reward you long after it stops building you” land before moving 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Sign 1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8:00-13:00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Test question, then the quick check. Must start by minute 8 — do not run over on slide 6.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Sign 2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13:00-18:00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Separate being needed from being formed and portable. Quick check after.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Sign 3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18:00-23:00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Read the work, not the title. This is not an argument against promotion.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Career Stall Check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23:00-28:00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Five quiet minutes. This is the primary participant action of the session.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Interpret without diagnosing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28:00-31:00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Prevent verdict-taking. Deliver the single AI sentence here, once.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Bridge 1 — one piece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31:00-32:30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Factual. Name Density and Optionality for the first time.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Bridge 2 — invitation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32:30-34:00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State price and format plainly. Point to the CTA once. Keep this slide up for Q&amp;A.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Q&amp;A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34:00-45:00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Keep answers short. Use the boundary line. Registration strip stays visible.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rFonts w:ascii="DM Sans" w:hAnsi="DM Sans"/>
                <w:sz w:val="19"/>
              </w:rPr>
              <w:t>Appendix — AI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not timed</w:t>
            </w:r>
          </w:p>
        </w:tc>
        <w:tc>
          <w:tcPr>
            <w:tcW w:type="dxa" w:w="5184"/>
          </w:tcPr>
          <w:p>
            <w:r/>
            <w:r>
              <w:rPr>
                <w:rFonts w:ascii="DM Sans" w:hAnsi="DM Sans"/>
                <w:sz w:val="19"/>
              </w:rPr>
              <w:t>Optional leave-behind. Use only if time and interest allow, outside the 45 minutes.</w:t>
            </w:r>
          </w:p>
        </w:tc>
      </w:tr>
    </w:tbl>
    <w:p>
      <w:pPr>
        <w:spacing w:after="120"/>
      </w:pP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12. REHEARSAL CHECKLIST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Confirm Maven title: How to Tell If Your Career Is Stalling.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Confirm brand line: A Capability Formation Lightning Lesson.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Set the free lesson duration to 45 minutes.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Use Maven's automatically generated lesson image for the free lesson.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Attach the paid workshop as the linked product / course promo.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Replace the URL and QR placeholders on slide 13 with the confirmed Maven registration link before the deck goes live.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Replace the Substack URL and QR placeholders on slide 13's secondary route.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Prepare one poll mechanism (chat, Maven poll, or Zoom poll) before the room opens.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Set a timer for the five-minute Career Stall Check.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Have the Career Stall Check handout link or file ready to share at minute 23.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Rehearse the personal story once aloud, timed, to confirm it lands within 60-90 seconds without adding detail beyond what is written.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Prepare the boundary line for personal-advice questions: “I can help you clarify what the pattern suggests examining. I cannot make the employment decision for you.”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Confirm the price on slide 13 reads $249 and is not described as a founding discount.</w:t>
      </w:r>
    </w:p>
    <w:p>
      <w:pPr>
        <w:spacing w:after="60" w:before="0" w:line="312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mention the Field Kit as included in the free lesson. It belongs to the paid workshop.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120" w:line="312" w:lineRule="auto"/>
      </w:pPr>
      <w:r>
        <w:rPr>
          <w:rFonts w:ascii="DM Sans" w:hAnsi="DM Sans" w:cs="DM Sans"/>
          <w:b w:val="0"/>
          <w:i w:val="0"/>
          <w:color w:val="4A4A4A"/>
          <w:sz w:val="16"/>
          <w:spacing w:val="30"/>
        </w:rPr>
        <w:t>TEMIDAYO AFONJA   |   TEMIDAYOAFONJA.COM   |   FACILITATOR GUIDE v3.1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