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 w:line="264" w:lineRule="auto"/>
      </w:pPr>
      <w:r>
        <w:rPr>
          <w:b/>
          <w:i w:val="0"/>
          <w:color w:val="9B2C10"/>
          <w:sz w:val="44"/>
        </w:rPr>
        <w:t>EDITOR ONLY</w:t>
      </w:r>
    </w:p>
    <w:p>
      <w:pPr>
        <w:spacing w:before="0" w:after="16" w:line="264" w:lineRule="auto"/>
      </w:pPr>
      <w:r>
        <w:rPr>
          <w:b/>
          <w:i w:val="0"/>
          <w:caps/>
          <w:color w:val="8A6D1E"/>
          <w:sz w:val="24"/>
        </w:rPr>
        <w:t>VIDEO 1  ·  v4.0</w:t>
      </w:r>
    </w:p>
    <w:p>
      <w:pPr>
        <w:spacing w:before="0" w:after="48" w:line="264" w:lineRule="auto"/>
      </w:pPr>
      <w:r>
        <w:rPr>
          <w:b/>
          <w:i w:val="0"/>
          <w:color w:val="0F2346"/>
          <w:sz w:val="40"/>
        </w:rPr>
        <w:t>How to Change Jobs Without Starting Your Career Over</w:t>
      </w:r>
    </w:p>
    <w:p>
      <w:pPr>
        <w:spacing w:before="0" w:after="128" w:line="264" w:lineRule="auto"/>
        <w:shd w:val="clear" w:fill="F3F0E8"/>
      </w:pPr>
      <w:r>
        <w:rPr>
          <w:b w:val="0"/>
          <w:i/>
          <w:color w:val="5A6B82"/>
          <w:sz w:val="22"/>
        </w:rPr>
        <w:t>This document is for the editor. It is NOT Temidayo's teleprompter and must not be placed on the recording screen.</w:t>
      </w:r>
    </w:p>
    <w:p>
      <w:pPr>
        <w:spacing w:before="112" w:after="64" w:line="264" w:lineRule="auto"/>
        <w:keepLines w:val="1"/>
        <w:keepNext w:val="1"/>
      </w:pPr>
      <w:r>
        <w:rPr>
          <w:b/>
          <w:i w:val="0"/>
          <w:color w:val="0F2346"/>
          <w:sz w:val="28"/>
        </w:rPr>
        <w:t>1.  Locked metadata</w:t>
      </w:r>
    </w:p>
    <w:p>
      <w:pPr>
        <w:spacing w:before="0" w:after="40" w:line="264" w:lineRule="auto"/>
        <w:keepLines w:val="1"/>
      </w:pPr>
      <w:r>
        <w:rPr>
          <w:b w:val="0"/>
          <w:i w:val="0"/>
          <w:sz w:val="22"/>
        </w:rPr>
        <w:t>Public title:            How to Change Jobs Without Starting Your Career Over</w:t>
      </w:r>
    </w:p>
    <w:p>
      <w:pPr>
        <w:spacing w:before="0" w:after="40" w:line="264" w:lineRule="auto"/>
        <w:keepLines w:val="1"/>
      </w:pPr>
      <w:r>
        <w:rPr>
          <w:b w:val="0"/>
          <w:i w:val="0"/>
          <w:sz w:val="22"/>
        </w:rPr>
        <w:t>On-screen deck title:    How I Changed Jobs Without Starting My Career Over</w:t>
      </w:r>
    </w:p>
    <w:p>
      <w:pPr>
        <w:spacing w:before="0" w:after="40" w:line="264" w:lineRule="auto"/>
        <w:keepLines w:val="1"/>
      </w:pPr>
      <w:r>
        <w:rPr>
          <w:b w:val="0"/>
          <w:i w:val="0"/>
          <w:sz w:val="22"/>
        </w:rPr>
        <w:t>Thumbnail:               DON’T START FROM ZERO</w:t>
      </w:r>
    </w:p>
    <w:p>
      <w:pPr>
        <w:spacing w:before="0" w:after="40" w:line="264" w:lineRule="auto"/>
        <w:keepLines w:val="1"/>
      </w:pPr>
      <w:r>
        <w:rPr>
          <w:b w:val="0"/>
          <w:i w:val="0"/>
          <w:sz w:val="22"/>
        </w:rPr>
        <w:t>Primary search phrase:   how to change jobs without starting over</w:t>
      </w:r>
    </w:p>
    <w:p>
      <w:pPr>
        <w:spacing w:before="0" w:after="40" w:line="264" w:lineRule="auto"/>
        <w:keepLines w:val="1"/>
      </w:pPr>
      <w:r>
        <w:rPr>
          <w:b w:val="0"/>
          <w:i w:val="0"/>
          <w:sz w:val="22"/>
        </w:rPr>
        <w:t>Primary CTA:             Free Career Evidence Starter</w:t>
      </w:r>
    </w:p>
    <w:p>
      <w:pPr>
        <w:spacing w:before="0" w:after="40" w:line="264" w:lineRule="auto"/>
        <w:keepLines w:val="1"/>
      </w:pPr>
      <w:r>
        <w:rPr>
          <w:b w:val="0"/>
          <w:i w:val="0"/>
          <w:sz w:val="22"/>
        </w:rPr>
        <w:t>CTA URL:                 https://temidayoafonja.com/career-evidence-starter</w:t>
      </w:r>
    </w:p>
    <w:p>
      <w:pPr>
        <w:spacing w:before="0" w:after="40" w:line="264" w:lineRule="auto"/>
        <w:keepLines w:val="1"/>
      </w:pPr>
      <w:r>
        <w:rPr>
          <w:b w:val="0"/>
          <w:i w:val="0"/>
          <w:sz w:val="22"/>
        </w:rPr>
        <w:t>Watch next:              Is Your Job Making You Less Marketable?</w:t>
      </w:r>
    </w:p>
    <w:p>
      <w:pPr>
        <w:spacing w:before="0" w:after="40" w:line="264" w:lineRule="auto"/>
        <w:keepLines w:val="1"/>
      </w:pPr>
      <w:r>
        <w:rPr>
          <w:b w:val="0"/>
          <w:i w:val="0"/>
          <w:sz w:val="22"/>
        </w:rPr>
        <w:t>Strategic job:           Searchable front door + personal proof</w:t>
      </w:r>
    </w:p>
    <w:p>
      <w:pPr>
        <w:spacing w:before="0" w:after="40" w:line="264" w:lineRule="auto"/>
        <w:keepLines w:val="1"/>
      </w:pPr>
      <w:r>
        <w:rPr>
          <w:b w:val="0"/>
          <w:i w:val="0"/>
          <w:sz w:val="22"/>
        </w:rPr>
        <w:t>Core question:           What has my experience built that could still be useful elsewhere?</w:t>
      </w:r>
    </w:p>
    <w:p>
      <w:pPr>
        <w:spacing w:before="0" w:after="40" w:line="264" w:lineRule="auto"/>
        <w:keepLines w:val="1"/>
      </w:pPr>
      <w:r>
        <w:rPr>
          <w:b w:val="0"/>
          <w:i w:val="0"/>
          <w:sz w:val="22"/>
        </w:rPr>
        <w:t>Memory device:           The three practices. No acronym, no second framework.</w:t>
      </w:r>
    </w:p>
    <w:p>
      <w:pPr>
        <w:spacing w:before="0" w:after="48" w:line="264" w:lineRule="auto"/>
        <w:keepLines w:val="1"/>
      </w:pPr>
      <w:r>
        <w:rPr>
          <w:b/>
          <w:i w:val="0"/>
          <w:sz w:val="22"/>
        </w:rPr>
        <w:t>The two titles differ intentionally. Do not change the title slide to match the public metadata title.</w:t>
      </w:r>
    </w:p>
    <w:p>
      <w:pPr>
        <w:spacing w:before="0" w:after="64" w:line="264" w:lineRule="auto"/>
        <w:keepLines w:val="1"/>
      </w:pPr>
      <w:r>
        <w:rPr>
          <w:b/>
          <w:i w:val="0"/>
          <w:color w:val="9B2C10"/>
          <w:sz w:val="22"/>
        </w:rPr>
        <w:t>Do not add the Capability Formation Field Kit, Keep the Proof, the Career Evidence 3 Cs or any second framework to this video.</w:t>
      </w:r>
    </w:p>
    <w:p>
      <w:pPr>
        <w:spacing w:before="112" w:after="64" w:line="264" w:lineRule="auto"/>
        <w:keepLines w:val="1"/>
        <w:keepNext w:val="1"/>
      </w:pPr>
      <w:r>
        <w:rPr>
          <w:b/>
          <w:i w:val="0"/>
          <w:color w:val="0F2346"/>
          <w:sz w:val="28"/>
        </w:rPr>
        <w:t>2.  Direct address is part of the creative</w:t>
      </w:r>
    </w:p>
    <w:p>
      <w:pPr>
        <w:spacing w:before="0" w:after="64" w:line="264"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80" w:after="40" w:line="264" w:lineRule="auto"/>
        <w:keepLines w:val="1"/>
        <w:keepNext w:val="1"/>
      </w:pPr>
      <w:r>
        <w:rPr>
          <w:b/>
          <w:i w:val="0"/>
          <w:color w:val="0F2346"/>
          <w:sz w:val="23"/>
        </w:rPr>
        <w:t>Editing should support that relationship</w:t>
      </w:r>
    </w:p>
    <w:p>
      <w:pPr>
        <w:spacing w:before="0" w:after="24" w:line="264" w:lineRule="auto"/>
        <w:keepLines w:val="1"/>
      </w:pPr>
      <w:r>
        <w:rPr>
          <w:b w:val="0"/>
          <w:i w:val="0"/>
          <w:sz w:val="22"/>
        </w:rPr>
        <w:t>—  keep direct questions connected to Temidayo's face where useful;</w:t>
      </w:r>
    </w:p>
    <w:p>
      <w:pPr>
        <w:spacing w:before="0" w:after="24" w:line="264" w:lineRule="auto"/>
        <w:keepLines w:val="1"/>
      </w:pPr>
      <w:r>
        <w:rPr>
          <w:b w:val="0"/>
          <w:i w:val="0"/>
          <w:sz w:val="22"/>
        </w:rPr>
        <w:t>—  avoid making this feel like a keynote;</w:t>
      </w:r>
    </w:p>
    <w:p>
      <w:pPr>
        <w:spacing w:before="0" w:after="24" w:line="264" w:lineRule="auto"/>
        <w:keepLines w:val="1"/>
      </w:pPr>
      <w:r>
        <w:rPr>
          <w:b w:val="0"/>
          <w:i w:val="0"/>
          <w:sz w:val="22"/>
        </w:rPr>
        <w:t>—  avoid overusing quote cards;        —  let the slides carry structure;</w:t>
      </w:r>
    </w:p>
    <w:p>
      <w:pPr>
        <w:spacing w:before="0" w:after="24" w:line="264" w:lineRule="auto"/>
        <w:keepLines w:val="1"/>
      </w:pPr>
      <w:r>
        <w:rPr>
          <w:b w:val="0"/>
          <w:i w:val="0"/>
          <w:sz w:val="22"/>
        </w:rPr>
        <w:t>—  let Temidayo carry relationship, interpretation and trust;</w:t>
      </w:r>
    </w:p>
    <w:p>
      <w:pPr>
        <w:spacing w:before="0" w:after="24" w:line="264" w:lineRule="auto"/>
        <w:keepLines w:val="1"/>
      </w:pPr>
      <w:r>
        <w:rPr>
          <w:b w:val="0"/>
          <w:i w:val="0"/>
          <w:sz w:val="22"/>
        </w:rPr>
        <w:t>—  preserve the pauses around direct questions;</w:t>
      </w:r>
    </w:p>
    <w:p>
      <w:pPr>
        <w:spacing w:before="0" w:after="24" w:line="264" w:lineRule="auto"/>
        <w:keepLines w:val="1"/>
      </w:pPr>
      <w:r>
        <w:rPr>
          <w:b w:val="0"/>
          <w:i w:val="0"/>
          <w:sz w:val="22"/>
        </w:rPr>
        <w:t>—  avoid generic “career guru” visual language.</w:t>
      </w:r>
    </w:p>
    <w:p>
      <w:pPr>
        <w:spacing w:before="80" w:after="40" w:line="264" w:lineRule="auto"/>
        <w:keepLines w:val="1"/>
        <w:keepNext w:val="1"/>
      </w:pPr>
      <w:r>
        <w:rPr>
          <w:b/>
          <w:i w:val="0"/>
          <w:color w:val="0F2346"/>
          <w:sz w:val="23"/>
        </w:rPr>
        <w:t>Relational beats — do not cut these as filler</w:t>
      </w:r>
    </w:p>
    <w:p>
      <w:pPr>
        <w:spacing w:before="0" w:after="40" w:line="264" w:lineRule="auto"/>
        <w:keepLines w:val="1"/>
      </w:pPr>
      <w:r>
        <w:rPr>
          <w:b w:val="0"/>
          <w:i w:val="0"/>
          <w:sz w:val="21"/>
        </w:rPr>
        <w:t>“Let me show you three things I use…”</w:t>
      </w:r>
    </w:p>
    <w:p>
      <w:pPr>
        <w:spacing w:before="0" w:after="40" w:line="264" w:lineRule="auto"/>
        <w:keepLines w:val="1"/>
      </w:pPr>
      <w:r>
        <w:rPr>
          <w:b w:val="0"/>
          <w:i w:val="0"/>
          <w:sz w:val="21"/>
        </w:rPr>
        <w:t>“And I want to be clear with you about the promise.”</w:t>
      </w:r>
    </w:p>
    <w:p>
      <w:pPr>
        <w:spacing w:before="0" w:after="40" w:line="264" w:lineRule="auto"/>
        <w:keepLines w:val="1"/>
      </w:pPr>
      <w:r>
        <w:rPr>
          <w:b w:val="0"/>
          <w:i w:val="0"/>
          <w:sz w:val="21"/>
        </w:rPr>
        <w:t>“That is the question I want to help you answer.”</w:t>
      </w:r>
    </w:p>
    <w:p>
      <w:pPr>
        <w:spacing w:before="0" w:after="40" w:line="264" w:lineRule="auto"/>
        <w:keepLines w:val="1"/>
      </w:pPr>
      <w:r>
        <w:rPr>
          <w:b w:val="0"/>
          <w:i w:val="0"/>
          <w:sz w:val="21"/>
        </w:rPr>
        <w:t>“The questions on screen are the ones I use, and I want you to use them too.”</w:t>
      </w:r>
    </w:p>
    <w:p>
      <w:pPr>
        <w:spacing w:before="0" w:after="40" w:line="264" w:lineRule="auto"/>
        <w:keepLines w:val="1"/>
      </w:pPr>
      <w:r>
        <w:rPr>
          <w:b w:val="0"/>
          <w:i w:val="0"/>
          <w:sz w:val="21"/>
        </w:rPr>
        <w:t>“Let me show you the more useful version…”</w:t>
      </w:r>
    </w:p>
    <w:p>
      <w:pPr>
        <w:spacing w:before="0" w:after="40" w:line="264" w:lineRule="auto"/>
        <w:keepLines w:val="1"/>
      </w:pPr>
      <w:r>
        <w:rPr>
          <w:b w:val="0"/>
          <w:i w:val="0"/>
          <w:sz w:val="21"/>
        </w:rPr>
        <w:t>“And I want to be precise with you.”</w:t>
      </w:r>
    </w:p>
    <w:p>
      <w:pPr>
        <w:spacing w:before="0" w:after="64" w:line="264"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64" w:line="264"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112" w:after="64" w:line="264" w:lineRule="auto"/>
        <w:keepLines w:val="1"/>
        <w:keepNext w:val="1"/>
      </w:pPr>
      <w:r>
        <w:rPr>
          <w:b/>
          <w:i w:val="0"/>
          <w:color w:val="0F2346"/>
          <w:sz w:val="28"/>
        </w:rPr>
        <w:t>3.  First 30 seconds — H.I.T. map</w:t>
      </w:r>
    </w:p>
    <w:p>
      <w:pPr>
        <w:spacing w:before="0" w:after="64" w:line="264"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80" w:line="264" w:lineRule="auto"/>
        <w:shd w:val="clear" w:fill="F3F0E8"/>
        <w:keepLines w:val="1"/>
      </w:pPr>
      <w:r>
        <w:rPr>
          <w:b/>
          <w:i w:val="0"/>
          <w:color w:val="9B2C10"/>
          <w:sz w:val="22"/>
        </w:rPr>
        <w:t>This supersedes the older Video 1 opening and any earlier instruction that kept Temidayo visually static or fully off-camera in the first 30 seconds.</w:t>
      </w:r>
    </w:p>
    <w:p>
      <w:pPr>
        <w:spacing w:before="80" w:after="40" w:line="264" w:lineRule="auto"/>
        <w:keepLines w:val="1"/>
        <w:keepNext w:val="1"/>
      </w:pPr>
      <w:r>
        <w:rPr>
          <w:b/>
          <w:i w:val="0"/>
          <w:color w:val="0F2346"/>
          <w:sz w:val="23"/>
        </w:rPr>
        <w:t>0:00–0:10</w:t>
      </w:r>
    </w:p>
    <w:p>
      <w:pPr>
        <w:spacing w:before="0" w:after="64" w:line="264" w:lineRule="auto"/>
        <w:shd w:val="clear" w:fill="F3F0E8"/>
      </w:pPr>
      <w:r>
        <w:rPr>
          <w:b w:val="0"/>
          <w:i/>
          <w:color w:val="5A6B82"/>
          <w:sz w:val="21"/>
        </w:rPr>
        <w:t>Spoken anchor:  “Changing jobs can make years of your experience feel as though they belong to the place you are leaving.”</w:t>
      </w:r>
    </w:p>
    <w:p>
      <w:pPr>
        <w:spacing w:before="0" w:after="48" w:line="264" w:lineRule="auto"/>
        <w:keepLines w:val="1"/>
      </w:pPr>
      <w:r>
        <w:rPr>
          <w:b/>
          <w:i w:val="0"/>
          <w:color w:val="8A6D1E"/>
          <w:sz w:val="22"/>
        </w:rPr>
        <w:t>H = HOOK</w:t>
      </w:r>
    </w:p>
    <w:p>
      <w:pPr>
        <w:spacing w:before="0" w:after="40" w:line="264" w:lineRule="auto"/>
        <w:keepLines w:val="1"/>
      </w:pPr>
      <w:r>
        <w:rPr>
          <w:b w:val="0"/>
          <w:i w:val="0"/>
          <w:sz w:val="22"/>
        </w:rPr>
        <w:t>Visual: begin on Temidayo, direct to camera.</w:t>
      </w:r>
    </w:p>
    <w:p>
      <w:pPr>
        <w:spacing w:before="0" w:after="40" w:line="264" w:lineRule="auto"/>
        <w:keepLines w:val="1"/>
      </w:pPr>
      <w:r>
        <w:rPr>
          <w:b w:val="0"/>
          <w:i w:val="0"/>
          <w:sz w:val="22"/>
        </w:rPr>
        <w:t>On-screen text:  DON’T START FROM ZERO</w:t>
      </w:r>
    </w:p>
    <w:p>
      <w:pPr>
        <w:spacing w:before="0" w:after="40" w:line="264" w:lineRule="auto"/>
        <w:keepLines w:val="1"/>
      </w:pPr>
      <w:r>
        <w:rPr>
          <w:b w:val="0"/>
          <w:i w:val="0"/>
          <w:sz w:val="22"/>
        </w:rPr>
        <w:t>Do not use a title card before this.</w:t>
      </w:r>
    </w:p>
    <w:p>
      <w:pPr>
        <w:spacing w:before="80" w:after="40" w:line="264" w:lineRule="auto"/>
        <w:keepLines w:val="1"/>
        <w:keepNext w:val="1"/>
      </w:pPr>
      <w:r>
        <w:rPr>
          <w:b/>
          <w:i w:val="0"/>
          <w:color w:val="0F2346"/>
          <w:sz w:val="23"/>
        </w:rPr>
        <w:t>0:10–0:16</w:t>
      </w:r>
    </w:p>
    <w:p>
      <w:pPr>
        <w:spacing w:before="0" w:after="64" w:line="264" w:lineRule="auto"/>
        <w:shd w:val="clear" w:fill="F3F0E8"/>
      </w:pPr>
      <w:r>
        <w:rPr>
          <w:b w:val="0"/>
          <w:i/>
          <w:color w:val="5A6B82"/>
          <w:sz w:val="21"/>
        </w:rPr>
        <w:t>Spoken anchor:  “But a new context does not make you new to everything.”</w:t>
      </w:r>
    </w:p>
    <w:p>
      <w:pPr>
        <w:spacing w:before="0" w:after="48" w:line="264" w:lineRule="auto"/>
        <w:keepLines w:val="1"/>
      </w:pPr>
      <w:r>
        <w:rPr>
          <w:b/>
          <w:i w:val="0"/>
          <w:color w:val="8A6D1E"/>
          <w:sz w:val="22"/>
        </w:rPr>
        <w:t>I = INTEREST</w:t>
      </w:r>
    </w:p>
    <w:p>
      <w:pPr>
        <w:spacing w:before="0" w:after="40" w:line="264" w:lineRule="auto"/>
        <w:keepLines w:val="1"/>
      </w:pPr>
      <w:r>
        <w:rPr>
          <w:b w:val="0"/>
          <w:i w:val="0"/>
          <w:sz w:val="22"/>
        </w:rPr>
        <w:t>The correction to the hook. Let it land before the proof arrives.</w:t>
      </w:r>
    </w:p>
    <w:p>
      <w:pPr>
        <w:spacing w:before="0" w:after="40" w:line="264" w:lineRule="auto"/>
        <w:keepLines w:val="1"/>
      </w:pPr>
      <w:r>
        <w:rPr>
          <w:b w:val="0"/>
          <w:i w:val="0"/>
          <w:sz w:val="22"/>
        </w:rPr>
        <w:t>Optional restrained text:  NEW CONTEXT ≠ NEW TO EVERYTHING</w:t>
      </w:r>
    </w:p>
    <w:p>
      <w:pPr>
        <w:spacing w:before="80" w:after="40" w:line="264" w:lineRule="auto"/>
        <w:keepLines w:val="1"/>
        <w:keepNext w:val="1"/>
      </w:pPr>
      <w:r>
        <w:rPr>
          <w:b/>
          <w:i w:val="0"/>
          <w:color w:val="0F2346"/>
          <w:sz w:val="23"/>
        </w:rPr>
        <w:t>0:16–0:26</w:t>
      </w:r>
    </w:p>
    <w:p>
      <w:pPr>
        <w:spacing w:before="0" w:after="64" w:line="264" w:lineRule="auto"/>
        <w:shd w:val="clear" w:fill="F3F0E8"/>
      </w:pPr>
      <w:r>
        <w:rPr>
          <w:b w:val="0"/>
          <w:i/>
          <w:color w:val="5A6B82"/>
          <w:sz w:val="21"/>
        </w:rPr>
        <w:t>Spoken anchor:  “Over roughly eighteen years, my career has crossed very different functions and industries, so I had to learn what actually travels.”</w:t>
      </w:r>
    </w:p>
    <w:p>
      <w:pPr>
        <w:spacing w:before="0" w:after="48" w:line="264" w:lineRule="auto"/>
        <w:keepLines w:val="1"/>
      </w:pPr>
      <w:r>
        <w:rPr>
          <w:b/>
          <w:i w:val="0"/>
          <w:color w:val="8A6D1E"/>
          <w:sz w:val="22"/>
        </w:rPr>
        <w:t>T = TRUST</w:t>
      </w:r>
    </w:p>
    <w:p>
      <w:pPr>
        <w:spacing w:before="0" w:after="40" w:line="264" w:lineRule="auto"/>
        <w:keepLines w:val="1"/>
      </w:pPr>
      <w:r>
        <w:rPr>
          <w:b w:val="0"/>
          <w:i w:val="0"/>
          <w:sz w:val="22"/>
        </w:rPr>
        <w:t>Restrained career-sequence overlay. Short labels only.</w:t>
      </w:r>
    </w:p>
    <w:p>
      <w:pPr>
        <w:spacing w:before="0" w:after="40" w:line="264" w:lineRule="auto"/>
        <w:keepLines w:val="1"/>
      </w:pPr>
      <w:r>
        <w:rPr>
          <w:b w:val="0"/>
          <w:i w:val="0"/>
          <w:sz w:val="22"/>
        </w:rPr>
        <w:t>“Roughly eighteen years” is APPROVED wording. It is not an open question and must not be softened or made precise.</w:t>
      </w:r>
    </w:p>
    <w:p>
      <w:pPr>
        <w:spacing w:before="0" w:after="40" w:line="264" w:lineRule="auto"/>
        <w:keepLines w:val="1"/>
      </w:pPr>
      <w:r>
        <w:rPr>
          <w:b w:val="0"/>
          <w:i w:val="0"/>
          <w:sz w:val="22"/>
        </w:rPr>
        <w:t>Temidayo does not recite the chapters aloud; the visual carries them.</w:t>
      </w:r>
    </w:p>
    <w:p>
      <w:pPr>
        <w:spacing w:before="80" w:after="40" w:line="264" w:lineRule="auto"/>
        <w:keepLines w:val="1"/>
        <w:keepNext w:val="1"/>
      </w:pPr>
      <w:r>
        <w:rPr>
          <w:b/>
          <w:i w:val="0"/>
          <w:color w:val="0F2346"/>
          <w:sz w:val="23"/>
        </w:rPr>
        <w:t>0:26–0:33</w:t>
      </w:r>
    </w:p>
    <w:p>
      <w:pPr>
        <w:spacing w:before="0" w:after="64" w:line="264" w:lineRule="auto"/>
        <w:shd w:val="clear" w:fill="F3F0E8"/>
      </w:pPr>
      <w:r>
        <w:rPr>
          <w:b w:val="0"/>
          <w:i/>
          <w:color w:val="5A6B82"/>
          <w:sz w:val="21"/>
        </w:rPr>
        <w:t>Spoken anchor:  “Let me show you three things I use…”</w:t>
      </w:r>
    </w:p>
    <w:p>
      <w:pPr>
        <w:spacing w:before="0" w:after="48" w:line="264" w:lineRule="auto"/>
        <w:keepLines w:val="1"/>
      </w:pPr>
      <w:r>
        <w:rPr>
          <w:b/>
          <w:i w:val="0"/>
          <w:color w:val="8A6D1E"/>
          <w:sz w:val="22"/>
        </w:rPr>
        <w:t>PAYOFF</w:t>
      </w:r>
    </w:p>
    <w:p>
      <w:pPr>
        <w:spacing w:before="0" w:after="40" w:line="264" w:lineRule="auto"/>
        <w:keepLines w:val="1"/>
      </w:pPr>
      <w:r>
        <w:rPr>
          <w:b w:val="0"/>
          <w:i w:val="0"/>
          <w:sz w:val="22"/>
        </w:rPr>
        <w:t>Progressively reveal the three practices.</w:t>
      </w:r>
    </w:p>
    <w:p>
      <w:pPr>
        <w:spacing w:before="0" w:after="40" w:line="264" w:lineRule="auto"/>
        <w:keepLines w:val="1"/>
      </w:pPr>
      <w:r>
        <w:rPr>
          <w:b w:val="0"/>
          <w:i w:val="0"/>
          <w:sz w:val="22"/>
        </w:rPr>
        <w:t>Optional small text: 3 PRACTICES</w:t>
      </w:r>
    </w:p>
    <w:p>
      <w:pPr>
        <w:spacing w:before="0" w:after="40" w:line="264" w:lineRule="auto"/>
        <w:keepLines w:val="1"/>
      </w:pPr>
      <w:r>
        <w:rPr>
          <w:b w:val="0"/>
          <w:i w:val="0"/>
          <w:sz w:val="22"/>
        </w:rPr>
        <w:t>The viewer should understand the payoff before the teaching begins.</w:t>
      </w:r>
    </w:p>
    <w:p>
      <w:pPr>
        <w:spacing w:before="96" w:after="40" w:line="264" w:lineRule="auto"/>
        <w:keepLines w:val="1"/>
        <w:keepNext w:val="1"/>
      </w:pPr>
      <w:r>
        <w:rPr>
          <w:b/>
          <w:i w:val="0"/>
          <w:color w:val="0F2346"/>
          <w:sz w:val="23"/>
        </w:rPr>
        <w:t>First-30-second audit table</w:t>
      </w:r>
    </w:p>
    <w:p>
      <w:pPr>
        <w:spacing w:before="0" w:after="64" w:line="264" w:lineRule="auto"/>
        <w:keepLines w:val="1"/>
      </w:pPr>
      <w:r>
        <w:rPr>
          <w:b w:val="0"/>
          <w:i/>
          <w:color w:val="5A6B82"/>
          <w:sz w:val="21"/>
        </w:rPr>
        <w:t>Audited against the v4.0 standard. The existing opening passed on title and thumbnail match, one-breath first sentence, recognition, visual interest, trust and payoff inside 30 seconds. It failed only the direct-address register, so the beats below carry the revised wording.</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0:00–0:10</w:t>
            </w:r>
          </w:p>
        </w:tc>
        <w:tc>
          <w:tcPr>
            <w:tcW w:type="dxa" w:w="2333"/>
          </w:tcPr>
          <w:p>
            <w:pPr>
              <w:spacing w:after="40" w:line="252" w:lineRule="auto"/>
            </w:pPr>
            <w:r/>
            <w:r>
              <w:rPr>
                <w:sz w:val="16"/>
              </w:rPr>
              <w:t>“Changing jobs can make years of your experience feel as though they belong to the place you are leaving.”</w:t>
            </w:r>
          </w:p>
        </w:tc>
        <w:tc>
          <w:tcPr>
            <w:tcW w:type="dxa" w:w="1325"/>
          </w:tcPr>
          <w:p>
            <w:pPr>
              <w:spacing w:after="40" w:line="252" w:lineRule="auto"/>
            </w:pPr>
            <w:r/>
            <w:r>
              <w:rPr>
                <w:sz w:val="16"/>
              </w:rPr>
              <w:t>A consequence the viewer may already be feeling.</w:t>
            </w:r>
          </w:p>
        </w:tc>
        <w:tc>
          <w:tcPr>
            <w:tcW w:type="dxa" w:w="1512"/>
          </w:tcPr>
          <w:p>
            <w:pPr>
              <w:spacing w:after="40" w:line="252" w:lineRule="auto"/>
            </w:pPr>
            <w:r/>
            <w:r>
              <w:rPr>
                <w:sz w:val="16"/>
              </w:rPr>
              <w:t>DON’T START FROM ZERO</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Named as a felt experience, not a statistic.</w:t>
            </w:r>
          </w:p>
        </w:tc>
        <w:tc>
          <w:tcPr>
            <w:tcW w:type="dxa" w:w="1397"/>
          </w:tcPr>
          <w:p>
            <w:pPr>
              <w:spacing w:after="40" w:line="252" w:lineRule="auto"/>
            </w:pPr>
            <w:r/>
            <w:r>
              <w:rPr>
                <w:sz w:val="16"/>
              </w:rPr>
              <w:t>The viewer recognises the fear the video will address.</w:t>
            </w:r>
          </w:p>
        </w:tc>
      </w:tr>
      <w:tr>
        <w:tc>
          <w:tcPr>
            <w:tcW w:type="dxa" w:w="749"/>
          </w:tcPr>
          <w:p>
            <w:pPr>
              <w:spacing w:after="40" w:line="252" w:lineRule="auto"/>
            </w:pPr>
            <w:r/>
            <w:r>
              <w:rPr>
                <w:sz w:val="16"/>
              </w:rPr>
              <w:t>0:10–0:16</w:t>
            </w:r>
          </w:p>
        </w:tc>
        <w:tc>
          <w:tcPr>
            <w:tcW w:type="dxa" w:w="2333"/>
          </w:tcPr>
          <w:p>
            <w:pPr>
              <w:spacing w:after="40" w:line="252" w:lineRule="auto"/>
            </w:pPr>
            <w:r/>
            <w:r>
              <w:rPr>
                <w:sz w:val="16"/>
              </w:rPr>
              <w:t>“But a new context does not make you new to everything.”</w:t>
            </w:r>
          </w:p>
        </w:tc>
        <w:tc>
          <w:tcPr>
            <w:tcW w:type="dxa" w:w="1325"/>
          </w:tcPr>
          <w:p>
            <w:pPr>
              <w:spacing w:after="40" w:line="252" w:lineRule="auto"/>
            </w:pPr>
            <w:r/>
            <w:r>
              <w:rPr>
                <w:sz w:val="16"/>
              </w:rPr>
              <w:t>The correction; a defensible contradiction of the fear.</w:t>
            </w:r>
          </w:p>
        </w:tc>
        <w:tc>
          <w:tcPr>
            <w:tcW w:type="dxa" w:w="1512"/>
          </w:tcPr>
          <w:p>
            <w:pPr>
              <w:spacing w:after="40" w:line="252" w:lineRule="auto"/>
            </w:pPr>
            <w:r/>
            <w:r>
              <w:rPr>
                <w:sz w:val="16"/>
              </w:rPr>
              <w:t>NEW CONTEXT ≠ NEW TO EVERYTHING</w:t>
            </w:r>
          </w:p>
        </w:tc>
        <w:tc>
          <w:tcPr>
            <w:tcW w:type="dxa" w:w="1584"/>
          </w:tcPr>
          <w:p>
            <w:pPr>
              <w:spacing w:after="40" w:line="252" w:lineRule="auto"/>
            </w:pPr>
            <w:r/>
            <w:r>
              <w:rPr>
                <w:sz w:val="16"/>
              </w:rPr>
              <w:t>Let it land before the proof arrives.</w:t>
            </w:r>
          </w:p>
        </w:tc>
        <w:tc>
          <w:tcPr>
            <w:tcW w:type="dxa" w:w="1325"/>
          </w:tcPr>
          <w:p>
            <w:pPr>
              <w:spacing w:after="40" w:line="252" w:lineRule="auto"/>
            </w:pPr>
            <w:r/>
            <w:r>
              <w:rPr>
                <w:sz w:val="16"/>
              </w:rPr>
              <w:t>Stated as her considered position.</w:t>
            </w:r>
          </w:p>
        </w:tc>
        <w:tc>
          <w:tcPr>
            <w:tcW w:type="dxa" w:w="1397"/>
          </w:tcPr>
          <w:p>
            <w:pPr>
              <w:spacing w:after="40" w:line="252" w:lineRule="auto"/>
            </w:pPr>
            <w:r/>
            <w:r>
              <w:rPr>
                <w:sz w:val="16"/>
              </w:rPr>
              <w:t>The viewer hears that the premise is wrong.</w:t>
            </w:r>
          </w:p>
        </w:tc>
      </w:tr>
      <w:tr>
        <w:tc>
          <w:tcPr>
            <w:tcW w:type="dxa" w:w="749"/>
          </w:tcPr>
          <w:p>
            <w:pPr>
              <w:spacing w:after="40" w:line="252" w:lineRule="auto"/>
            </w:pPr>
            <w:r/>
            <w:r>
              <w:rPr>
                <w:sz w:val="16"/>
              </w:rPr>
              <w:t>0:16–0:26</w:t>
            </w:r>
          </w:p>
        </w:tc>
        <w:tc>
          <w:tcPr>
            <w:tcW w:type="dxa" w:w="2333"/>
          </w:tcPr>
          <w:p>
            <w:pPr>
              <w:spacing w:after="40" w:line="252" w:lineRule="auto"/>
            </w:pPr>
            <w:r/>
            <w:r>
              <w:rPr>
                <w:sz w:val="16"/>
              </w:rPr>
              <w:t>“Over roughly eighteen years, my career has crossed very different functions and industries, so I had to learn what actually travels.”</w:t>
            </w:r>
          </w:p>
        </w:tc>
        <w:tc>
          <w:tcPr>
            <w:tcW w:type="dxa" w:w="1325"/>
          </w:tcPr>
          <w:p>
            <w:pPr>
              <w:spacing w:after="40" w:line="252" w:lineRule="auto"/>
            </w:pPr>
            <w:r/>
            <w:r>
              <w:rPr>
                <w:sz w:val="16"/>
              </w:rPr>
              <w:t>Personal-story proof for the correction.</w:t>
            </w:r>
          </w:p>
        </w:tc>
        <w:tc>
          <w:tcPr>
            <w:tcW w:type="dxa" w:w="1512"/>
          </w:tcPr>
          <w:p>
            <w:pPr>
              <w:spacing w:after="40" w:line="252" w:lineRule="auto"/>
            </w:pPr>
            <w:r/>
            <w:r>
              <w:rPr>
                <w:sz w:val="16"/>
              </w:rPr>
              <w:t>ACCOUNTING → CYBERSECURITY → PEOPLE STRATEGY</w:t>
            </w:r>
          </w:p>
        </w:tc>
        <w:tc>
          <w:tcPr>
            <w:tcW w:type="dxa" w:w="1584"/>
          </w:tcPr>
          <w:p>
            <w:pPr>
              <w:spacing w:after="40" w:line="252" w:lineRule="auto"/>
            </w:pPr>
            <w:r/>
            <w:r>
              <w:rPr>
                <w:sz w:val="16"/>
              </w:rPr>
              <w:t>Restrained career-sequence overlay. Not recited aloud.</w:t>
            </w:r>
          </w:p>
        </w:tc>
        <w:tc>
          <w:tcPr>
            <w:tcW w:type="dxa" w:w="1325"/>
          </w:tcPr>
          <w:p>
            <w:pPr>
              <w:spacing w:after="40" w:line="252" w:lineRule="auto"/>
            </w:pPr>
            <w:r/>
            <w:r>
              <w:rPr>
                <w:sz w:val="16"/>
              </w:rPr>
              <w:t>Roughly eighteen years across very different functions and industries.</w:t>
            </w:r>
          </w:p>
        </w:tc>
        <w:tc>
          <w:tcPr>
            <w:tcW w:type="dxa" w:w="1397"/>
          </w:tcPr>
          <w:p>
            <w:pPr>
              <w:spacing w:after="40" w:line="252" w:lineRule="auto"/>
            </w:pPr>
            <w:r/>
            <w:r>
              <w:rPr>
                <w:sz w:val="16"/>
              </w:rPr>
              <w:t>The viewer sees why she can answer this question.</w:t>
            </w:r>
          </w:p>
        </w:tc>
      </w:tr>
      <w:tr>
        <w:tc>
          <w:tcPr>
            <w:tcW w:type="dxa" w:w="749"/>
          </w:tcPr>
          <w:p>
            <w:pPr>
              <w:spacing w:after="40" w:line="252" w:lineRule="auto"/>
            </w:pPr>
            <w:r/>
            <w:r>
              <w:rPr>
                <w:sz w:val="16"/>
              </w:rPr>
              <w:t>0:26–0:33</w:t>
            </w:r>
          </w:p>
        </w:tc>
        <w:tc>
          <w:tcPr>
            <w:tcW w:type="dxa" w:w="2333"/>
          </w:tcPr>
          <w:p>
            <w:pPr>
              <w:spacing w:after="40" w:line="252" w:lineRule="auto"/>
            </w:pPr>
            <w:r/>
            <w:r>
              <w:rPr>
                <w:sz w:val="16"/>
              </w:rPr>
              <w:t>“Let me show you three things I use…”</w:t>
            </w:r>
          </w:p>
        </w:tc>
        <w:tc>
          <w:tcPr>
            <w:tcW w:type="dxa" w:w="1325"/>
          </w:tcPr>
          <w:p>
            <w:pPr>
              <w:spacing w:after="40" w:line="252" w:lineRule="auto"/>
            </w:pPr>
            <w:r/>
            <w:r>
              <w:rPr>
                <w:sz w:val="16"/>
              </w:rPr>
              <w:t>Direct offer: her practices become the viewer's.</w:t>
            </w:r>
          </w:p>
        </w:tc>
        <w:tc>
          <w:tcPr>
            <w:tcW w:type="dxa" w:w="1512"/>
          </w:tcPr>
          <w:p>
            <w:pPr>
              <w:spacing w:after="40" w:line="252" w:lineRule="auto"/>
            </w:pPr>
            <w:r/>
            <w:r>
              <w:rPr>
                <w:sz w:val="16"/>
              </w:rPr>
              <w:t>3 PRACTICES</w:t>
            </w:r>
          </w:p>
        </w:tc>
        <w:tc>
          <w:tcPr>
            <w:tcW w:type="dxa" w:w="1584"/>
          </w:tcPr>
          <w:p>
            <w:pPr>
              <w:spacing w:after="40" w:line="252" w:lineRule="auto"/>
            </w:pPr>
            <w:r/>
            <w:r>
              <w:rPr>
                <w:sz w:val="16"/>
              </w:rPr>
              <w:t>Progressive reveal, then into the deck.</w:t>
            </w:r>
          </w:p>
        </w:tc>
        <w:tc>
          <w:tcPr>
            <w:tcW w:type="dxa" w:w="1325"/>
          </w:tcPr>
          <w:p>
            <w:pPr>
              <w:spacing w:after="40" w:line="252" w:lineRule="auto"/>
            </w:pPr>
            <w:r/>
            <w:r>
              <w:rPr>
                <w:sz w:val="16"/>
              </w:rPr>
              <w:t>The practices are derived from her own transitions.</w:t>
            </w:r>
          </w:p>
        </w:tc>
        <w:tc>
          <w:tcPr>
            <w:tcW w:type="dxa" w:w="1397"/>
          </w:tcPr>
          <w:p>
            <w:pPr>
              <w:spacing w:after="40" w:line="252" w:lineRule="auto"/>
            </w:pPr>
            <w:r/>
            <w:r>
              <w:rPr>
                <w:sz w:val="16"/>
              </w:rPr>
              <w:t>Payoff is explicit before 33 seconds.</w:t>
            </w:r>
          </w:p>
        </w:tc>
      </w:tr>
    </w:tbl>
    <w:p>
      <w:pPr>
        <w:spacing w:before="80" w:after="40" w:line="264" w:lineRule="auto"/>
        <w:keepLines w:val="1"/>
      </w:pPr>
      <w:r>
        <w:rPr>
          <w:b/>
          <w:i w:val="0"/>
          <w:color w:val="0F2346"/>
          <w:sz w:val="21"/>
        </w:rPr>
        <w:t>Hook layers for the long-form:</w:t>
      </w:r>
    </w:p>
    <w:p>
      <w:pPr>
        <w:spacing w:before="0" w:after="32" w:line="264" w:lineRule="auto"/>
        <w:keepLines w:val="1"/>
      </w:pPr>
      <w:r>
        <w:rPr>
          <w:b w:val="0"/>
          <w:i w:val="0"/>
          <w:sz w:val="21"/>
        </w:rPr>
        <w:t>Verbal hook:       Changing jobs can make years of your experience feel as though they belong to the place you are leaving.</w:t>
      </w:r>
    </w:p>
    <w:p>
      <w:pPr>
        <w:spacing w:before="0" w:after="32" w:line="264" w:lineRule="auto"/>
        <w:keepLines w:val="1"/>
      </w:pPr>
      <w:r>
        <w:rPr>
          <w:b w:val="0"/>
          <w:i w:val="0"/>
          <w:sz w:val="21"/>
        </w:rPr>
        <w:t>On-screen hook:    DON’T START FROM ZERO</w:t>
      </w:r>
    </w:p>
    <w:p>
      <w:pPr>
        <w:spacing w:before="0" w:after="32" w:line="264" w:lineRule="auto"/>
        <w:keepLines w:val="1"/>
      </w:pPr>
      <w:r>
        <w:rPr>
          <w:b w:val="0"/>
          <w:i w:val="0"/>
          <w:sz w:val="21"/>
        </w:rPr>
        <w:t>Visual / editor:   Direct to camera, then the restrained career-sequence overlay.</w:t>
      </w:r>
    </w:p>
    <w:p>
      <w:pPr>
        <w:spacing w:before="0" w:after="32" w:line="264" w:lineRule="auto"/>
        <w:keepLines w:val="1"/>
      </w:pPr>
      <w:r>
        <w:rPr>
          <w:b w:val="0"/>
          <w:i w:val="0"/>
          <w:sz w:val="21"/>
        </w:rPr>
        <w:t>Trust beat:        Roughly eighteen years across very different functions and industries, and the bounded 47 to 75 onboarding measure later in the video.</w:t>
      </w:r>
    </w:p>
    <w:p>
      <w:pPr>
        <w:spacing w:before="0" w:after="32" w:line="264" w:lineRule="auto"/>
        <w:keepLines w:val="1"/>
      </w:pPr>
      <w:r>
        <w:rPr>
          <w:b w:val="0"/>
          <w:i w:val="0"/>
          <w:sz w:val="21"/>
        </w:rPr>
        <w:t>Viewer payoff:     Three practices for carrying experience forward, promised by 0:33.</w:t>
      </w:r>
    </w:p>
    <w:p>
      <w:pPr>
        <w:spacing w:before="112" w:after="64" w:line="264" w:lineRule="auto"/>
        <w:keepLines w:val="1"/>
        <w:keepNext w:val="1"/>
      </w:pPr>
      <w:r>
        <w:rPr>
          <w:b/>
          <w:i w:val="0"/>
          <w:color w:val="0F2346"/>
          <w:sz w:val="28"/>
        </w:rPr>
        <w:t>4.  Slide marker → actual slide number</w:t>
      </w:r>
    </w:p>
    <w:p>
      <w:pPr>
        <w:spacing w:before="0" w:after="64" w:line="264" w:lineRule="auto"/>
      </w:pPr>
      <w:r>
        <w:rPr>
          <w:b w:val="0"/>
          <w:i w:val="0"/>
          <w:sz w:val="22"/>
        </w:rPr>
        <w:t>The teleprompter carries thirteen slide markers. They map to the existing thirteen-slide deck in order, marker 1 to slide 1 through marker 13 to slide 13. Do not add, delete, redesign or reorder slides.</w:t>
      </w:r>
    </w:p>
    <w:p>
      <w:pPr>
        <w:spacing w:before="0" w:after="24" w:line="264" w:lineRule="auto"/>
        <w:keepLines w:val="1"/>
      </w:pPr>
      <w:r>
        <w:rPr>
          <w:b w:val="0"/>
          <w:i w:val="0"/>
          <w:sz w:val="21"/>
        </w:rPr>
        <w:t>Marker 1   →  Slide 1   Title</w:t>
      </w:r>
    </w:p>
    <w:p>
      <w:pPr>
        <w:spacing w:before="0" w:after="24" w:line="264" w:lineRule="auto"/>
        <w:keepLines w:val="1"/>
      </w:pPr>
      <w:r>
        <w:rPr>
          <w:b w:val="0"/>
          <w:i w:val="0"/>
          <w:sz w:val="21"/>
        </w:rPr>
        <w:t>Marker 2   →  Slide 2   My Career Path</w:t>
      </w:r>
    </w:p>
    <w:p>
      <w:pPr>
        <w:spacing w:before="0" w:after="24" w:line="264" w:lineRule="auto"/>
        <w:keepLines w:val="1"/>
      </w:pPr>
      <w:r>
        <w:rPr>
          <w:b w:val="0"/>
          <w:i w:val="0"/>
          <w:sz w:val="21"/>
        </w:rPr>
        <w:t>Marker 3   →  Slide 3   01 Look Underneath the Title</w:t>
      </w:r>
    </w:p>
    <w:p>
      <w:pPr>
        <w:spacing w:before="0" w:after="24" w:line="264" w:lineRule="auto"/>
        <w:keepLines w:val="1"/>
      </w:pPr>
      <w:r>
        <w:rPr>
          <w:b w:val="0"/>
          <w:i w:val="0"/>
          <w:sz w:val="21"/>
        </w:rPr>
        <w:t>Marker 4   →  Slide 4   Move One</w:t>
      </w:r>
    </w:p>
    <w:p>
      <w:pPr>
        <w:spacing w:before="0" w:after="24" w:line="264" w:lineRule="auto"/>
        <w:keepLines w:val="1"/>
      </w:pPr>
      <w:r>
        <w:rPr>
          <w:b w:val="0"/>
          <w:i w:val="0"/>
          <w:sz w:val="21"/>
        </w:rPr>
        <w:t>Marker 5   →  Slide 5   02 Explain What the Work Changed</w:t>
      </w:r>
    </w:p>
    <w:p>
      <w:pPr>
        <w:spacing w:before="0" w:after="24" w:line="264" w:lineRule="auto"/>
        <w:keepLines w:val="1"/>
      </w:pPr>
      <w:r>
        <w:rPr>
          <w:b w:val="0"/>
          <w:i w:val="0"/>
          <w:sz w:val="21"/>
        </w:rPr>
        <w:t>Marker 6   →  Slide 6   Move Two</w:t>
      </w:r>
    </w:p>
    <w:p>
      <w:pPr>
        <w:spacing w:before="0" w:after="24" w:line="264" w:lineRule="auto"/>
        <w:keepLines w:val="1"/>
      </w:pPr>
      <w:r>
        <w:rPr>
          <w:b w:val="0"/>
          <w:i w:val="0"/>
          <w:sz w:val="21"/>
        </w:rPr>
        <w:t>Marker 7   →  Slide 7   One Result — 47 to 75</w:t>
      </w:r>
    </w:p>
    <w:p>
      <w:pPr>
        <w:spacing w:before="0" w:after="24" w:line="264" w:lineRule="auto"/>
        <w:keepLines w:val="1"/>
      </w:pPr>
      <w:r>
        <w:rPr>
          <w:b w:val="0"/>
          <w:i w:val="0"/>
          <w:sz w:val="21"/>
        </w:rPr>
        <w:t>Marker 8   →  Slide 8   03 Keep Evidence Before You Need It</w:t>
      </w:r>
    </w:p>
    <w:p>
      <w:pPr>
        <w:spacing w:before="0" w:after="24" w:line="264" w:lineRule="auto"/>
        <w:keepLines w:val="1"/>
      </w:pPr>
      <w:r>
        <w:rPr>
          <w:b w:val="0"/>
          <w:i w:val="0"/>
          <w:sz w:val="21"/>
        </w:rPr>
        <w:t>Marker 9   →  Slide 9   Move Three</w:t>
      </w:r>
    </w:p>
    <w:p>
      <w:pPr>
        <w:spacing w:before="0" w:after="24" w:line="264" w:lineRule="auto"/>
        <w:keepLines w:val="1"/>
      </w:pPr>
      <w:r>
        <w:rPr>
          <w:b w:val="0"/>
          <w:i w:val="0"/>
          <w:sz w:val="21"/>
        </w:rPr>
        <w:t>Marker 10  →  Slide 10  Three Things I Learned to Do</w:t>
      </w:r>
    </w:p>
    <w:p>
      <w:pPr>
        <w:spacing w:before="0" w:after="24" w:line="264" w:lineRule="auto"/>
        <w:keepLines w:val="1"/>
      </w:pPr>
      <w:r>
        <w:rPr>
          <w:b w:val="0"/>
          <w:i w:val="0"/>
          <w:sz w:val="21"/>
        </w:rPr>
        <w:t>Marker 11  →  Slide 11  Before Your Next Move</w:t>
      </w:r>
    </w:p>
    <w:p>
      <w:pPr>
        <w:spacing w:before="0" w:after="24" w:line="264" w:lineRule="auto"/>
        <w:keepLines w:val="1"/>
      </w:pPr>
      <w:r>
        <w:rPr>
          <w:b w:val="0"/>
          <w:i w:val="0"/>
          <w:sz w:val="21"/>
        </w:rPr>
        <w:t>Marker 12  →  Slide 12  Career Evidence Starter</w:t>
      </w:r>
    </w:p>
    <w:p>
      <w:pPr>
        <w:spacing w:before="0" w:after="24" w:line="264" w:lineRule="auto"/>
        <w:keepLines w:val="1"/>
      </w:pPr>
      <w:r>
        <w:rPr>
          <w:b w:val="0"/>
          <w:i w:val="0"/>
          <w:sz w:val="21"/>
        </w:rPr>
        <w:t>Marker 13  →  Slide 13  Watch Next</w:t>
      </w:r>
    </w:p>
    <w:p>
      <w:pPr>
        <w:spacing w:before="112" w:after="64" w:line="264" w:lineRule="auto"/>
        <w:keepLines w:val="1"/>
        <w:keepNext w:val="1"/>
      </w:pPr>
      <w:r>
        <w:rPr>
          <w:b/>
          <w:i w:val="0"/>
          <w:color w:val="0F2346"/>
          <w:sz w:val="28"/>
        </w:rPr>
        <w:t>5.  Existing reveal-frame map</w:t>
      </w:r>
    </w:p>
    <w:p>
      <w:pPr>
        <w:spacing w:before="0" w:after="64" w:line="264" w:lineRule="auto"/>
      </w:pPr>
      <w:r>
        <w:rPr>
          <w:b w:val="0"/>
          <w:i w:val="0"/>
          <w:sz w:val="22"/>
        </w:rPr>
        <w:t>The reveal-build deck contains 22 frames. This is the inspected count from the actual file. Reveal visuals are unchanged.</w:t>
      </w:r>
    </w:p>
    <w:p>
      <w:pPr>
        <w:spacing w:before="0" w:after="24" w:line="264" w:lineRule="auto"/>
        <w:keepLines w:val="1"/>
      </w:pPr>
      <w:r>
        <w:rPr>
          <w:b w:val="0"/>
          <w:i w:val="0"/>
          <w:sz w:val="21"/>
        </w:rPr>
        <w:t>Slide 1   →  reveal frames 1        (1)</w:t>
      </w:r>
    </w:p>
    <w:p>
      <w:pPr>
        <w:spacing w:before="0" w:after="24" w:line="264" w:lineRule="auto"/>
        <w:keepLines w:val="1"/>
      </w:pPr>
      <w:r>
        <w:rPr>
          <w:b w:val="0"/>
          <w:i w:val="0"/>
          <w:sz w:val="21"/>
        </w:rPr>
        <w:t>Slide 2   →  reveal frames 2        (1)</w:t>
      </w:r>
    </w:p>
    <w:p>
      <w:pPr>
        <w:spacing w:before="0" w:after="24" w:line="264" w:lineRule="auto"/>
        <w:keepLines w:val="1"/>
      </w:pPr>
      <w:r>
        <w:rPr>
          <w:b w:val="0"/>
          <w:i w:val="0"/>
          <w:sz w:val="21"/>
        </w:rPr>
        <w:t>Slide 3   →  reveal frames 3        (1)</w:t>
      </w:r>
    </w:p>
    <w:p>
      <w:pPr>
        <w:spacing w:before="0" w:after="24" w:line="264" w:lineRule="auto"/>
        <w:keepLines w:val="1"/>
      </w:pPr>
      <w:r>
        <w:rPr>
          <w:b w:val="0"/>
          <w:i w:val="0"/>
          <w:sz w:val="21"/>
        </w:rPr>
        <w:t>Slide 4   →  reveal frames 4–6      (3)</w:t>
      </w:r>
    </w:p>
    <w:p>
      <w:pPr>
        <w:spacing w:before="0" w:after="24" w:line="264" w:lineRule="auto"/>
        <w:keepLines w:val="1"/>
      </w:pPr>
      <w:r>
        <w:rPr>
          <w:b w:val="0"/>
          <w:i w:val="0"/>
          <w:sz w:val="21"/>
        </w:rPr>
        <w:t>Slide 5   →  reveal frames 7        (1)</w:t>
      </w:r>
    </w:p>
    <w:p>
      <w:pPr>
        <w:spacing w:before="0" w:after="24" w:line="264" w:lineRule="auto"/>
        <w:keepLines w:val="1"/>
      </w:pPr>
      <w:r>
        <w:rPr>
          <w:b w:val="0"/>
          <w:i w:val="0"/>
          <w:sz w:val="21"/>
        </w:rPr>
        <w:t>Slide 6   →  reveal frames 8–9      (2)</w:t>
      </w:r>
    </w:p>
    <w:p>
      <w:pPr>
        <w:spacing w:before="0" w:after="24" w:line="264" w:lineRule="auto"/>
        <w:keepLines w:val="1"/>
      </w:pPr>
      <w:r>
        <w:rPr>
          <w:b w:val="0"/>
          <w:i w:val="0"/>
          <w:sz w:val="21"/>
        </w:rPr>
        <w:t>Slide 7   →  reveal frames 10–11    (2)</w:t>
      </w:r>
    </w:p>
    <w:p>
      <w:pPr>
        <w:spacing w:before="0" w:after="24" w:line="264" w:lineRule="auto"/>
        <w:keepLines w:val="1"/>
      </w:pPr>
      <w:r>
        <w:rPr>
          <w:b w:val="0"/>
          <w:i w:val="0"/>
          <w:sz w:val="21"/>
        </w:rPr>
        <w:t>Slide 8   →  reveal frames 12       (1)</w:t>
      </w:r>
    </w:p>
    <w:p>
      <w:pPr>
        <w:spacing w:before="0" w:after="24" w:line="264" w:lineRule="auto"/>
        <w:keepLines w:val="1"/>
      </w:pPr>
      <w:r>
        <w:rPr>
          <w:b w:val="0"/>
          <w:i w:val="0"/>
          <w:sz w:val="21"/>
        </w:rPr>
        <w:t>Slide 9   →  reveal frames 13–16    (4)</w:t>
      </w:r>
    </w:p>
    <w:p>
      <w:pPr>
        <w:spacing w:before="0" w:after="24" w:line="264" w:lineRule="auto"/>
        <w:keepLines w:val="1"/>
      </w:pPr>
      <w:r>
        <w:rPr>
          <w:b w:val="0"/>
          <w:i w:val="0"/>
          <w:sz w:val="21"/>
        </w:rPr>
        <w:t>Slide 10  →  reveal frames 17       (1)</w:t>
      </w:r>
    </w:p>
    <w:p>
      <w:pPr>
        <w:spacing w:before="0" w:after="24" w:line="264" w:lineRule="auto"/>
        <w:keepLines w:val="1"/>
      </w:pPr>
      <w:r>
        <w:rPr>
          <w:b w:val="0"/>
          <w:i w:val="0"/>
          <w:sz w:val="21"/>
        </w:rPr>
        <w:t>Slide 11  →  reveal frames 18–20    (3)</w:t>
      </w:r>
    </w:p>
    <w:p>
      <w:pPr>
        <w:spacing w:before="0" w:after="24" w:line="264" w:lineRule="auto"/>
        <w:keepLines w:val="1"/>
      </w:pPr>
      <w:r>
        <w:rPr>
          <w:b w:val="0"/>
          <w:i w:val="0"/>
          <w:sz w:val="21"/>
        </w:rPr>
        <w:t>Slide 12  →  reveal frames 21       (1)</w:t>
      </w:r>
    </w:p>
    <w:p>
      <w:pPr>
        <w:spacing w:before="0" w:after="24" w:line="264" w:lineRule="auto"/>
        <w:keepLines w:val="1"/>
      </w:pPr>
      <w:r>
        <w:rPr>
          <w:b w:val="0"/>
          <w:i w:val="0"/>
          <w:sz w:val="21"/>
        </w:rPr>
        <w:t>Slide 13  →  reveal frames 22       (1)</w:t>
      </w:r>
    </w:p>
    <w:p>
      <w:pPr>
        <w:spacing w:before="112" w:after="64" w:line="264" w:lineRule="auto"/>
        <w:keepLines w:val="1"/>
        <w:keepNext w:val="1"/>
      </w:pPr>
      <w:r>
        <w:rPr>
          <w:b/>
          <w:i w:val="0"/>
          <w:color w:val="0F2346"/>
          <w:sz w:val="28"/>
        </w:rPr>
        <w:t>6.  Overlay principle</w:t>
      </w:r>
    </w:p>
    <w:p>
      <w:pPr>
        <w:spacing w:before="0" w:after="64" w:line="264"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112" w:after="64" w:line="264" w:lineRule="auto"/>
        <w:keepLines w:val="1"/>
        <w:keepNext w:val="1"/>
      </w:pPr>
      <w:r>
        <w:rPr>
          <w:b/>
          <w:i w:val="0"/>
          <w:color w:val="0F2346"/>
          <w:sz w:val="28"/>
        </w:rPr>
        <w:t>7.  Factual boundaries</w:t>
      </w:r>
    </w:p>
    <w:p>
      <w:pPr>
        <w:spacing w:before="0" w:after="64" w:line="264" w:lineRule="auto"/>
        <w:shd w:val="clear" w:fill="F3F0E8"/>
        <w:keepLines w:val="1"/>
      </w:pPr>
      <w:r>
        <w:rPr>
          <w:b/>
          <w:i w:val="0"/>
          <w:color w:val="9B2C10"/>
          <w:sz w:val="22"/>
        </w:rPr>
        <w:t>THE 47 TO 75 MEASURE IS BOUNDED. It is ONE measure of how well new hires felt integrated, after an onboarding redesign Temidayo LED WITH HER TEAM. It is not a claim about everything the redesign affected and not something she did alone. The script states both qualifiers out loud; do not trim either.</w:t>
      </w:r>
    </w:p>
    <w:p>
      <w:pPr>
        <w:spacing w:before="0" w:after="64" w:line="264" w:lineRule="auto"/>
        <w:shd w:val="clear" w:fill="F3F0E8"/>
        <w:keepLines w:val="1"/>
      </w:pPr>
      <w:r>
        <w:rPr>
          <w:b/>
          <w:i w:val="0"/>
          <w:color w:val="9B2C10"/>
          <w:sz w:val="22"/>
        </w:rPr>
        <w:t>EXCLUDED CLAIMS. The ~30% retention improvement and the &gt;$2M avoided turnover figure are NOT in this video and must never be added to it or to any graphic, caption or thumbnail.</w:t>
      </w:r>
    </w:p>
    <w:p>
      <w:pPr>
        <w:spacing w:before="0" w:after="48" w:line="264" w:lineRule="auto"/>
        <w:keepLines w:val="1"/>
      </w:pPr>
      <w:r>
        <w:rPr>
          <w:b/>
          <w:i w:val="0"/>
          <w:sz w:val="22"/>
        </w:rPr>
        <w:t>“Roughly eighteen years” is approved wording and is not an open question. Do not make it precise and do not soften it.</w:t>
      </w:r>
    </w:p>
    <w:p>
      <w:pPr>
        <w:spacing w:before="0" w:after="40" w:line="264" w:lineRule="auto"/>
      </w:pPr>
      <w:r>
        <w:rPr>
          <w:b w:val="0"/>
          <w:i w:val="0"/>
          <w:sz w:val="22"/>
        </w:rPr>
        <w:t>Also hold:</w:t>
      </w:r>
    </w:p>
    <w:p>
      <w:pPr>
        <w:spacing w:before="0" w:after="24" w:line="264" w:lineRule="auto"/>
        <w:keepLines w:val="1"/>
      </w:pPr>
      <w:r>
        <w:rPr>
          <w:b w:val="0"/>
          <w:i w:val="0"/>
          <w:sz w:val="22"/>
        </w:rPr>
        <w:t>—  the relearning boundary — not everything transfers;</w:t>
      </w:r>
    </w:p>
    <w:p>
      <w:pPr>
        <w:spacing w:before="0" w:after="24" w:line="264" w:lineRule="auto"/>
        <w:keepLines w:val="1"/>
      </w:pPr>
      <w:r>
        <w:rPr>
          <w:b w:val="0"/>
          <w:i w:val="0"/>
          <w:sz w:val="22"/>
        </w:rPr>
        <w:t>—  December 2008 accounting degree and financial-crisis context as spoken;</w:t>
      </w:r>
    </w:p>
    <w:p>
      <w:pPr>
        <w:spacing w:before="0" w:after="24" w:line="264" w:lineRule="auto"/>
        <w:keepLines w:val="1"/>
      </w:pPr>
      <w:r>
        <w:rPr>
          <w:b w:val="0"/>
          <w:i w:val="0"/>
          <w:sz w:val="22"/>
        </w:rPr>
        <w:t>—  no employer named;        —  no invented assignment, quote or conversation;</w:t>
      </w:r>
    </w:p>
    <w:p>
      <w:pPr>
        <w:spacing w:before="0" w:after="24" w:line="264" w:lineRule="auto"/>
        <w:keepLines w:val="1"/>
      </w:pPr>
      <w:r>
        <w:rPr>
          <w:b w:val="0"/>
          <w:i w:val="0"/>
          <w:sz w:val="22"/>
        </w:rPr>
        <w:t>—  the permitted, non-confidential record boundary;</w:t>
      </w:r>
    </w:p>
    <w:p>
      <w:pPr>
        <w:spacing w:before="0" w:after="24" w:line="264" w:lineRule="auto"/>
        <w:keepLines w:val="1"/>
      </w:pPr>
      <w:r>
        <w:rPr>
          <w:b w:val="0"/>
          <w:i w:val="0"/>
          <w:sz w:val="22"/>
        </w:rPr>
        <w:t>—  the narrowest-capability rule on the what-this-shows line.</w:t>
      </w:r>
    </w:p>
    <w:p>
      <w:pPr>
        <w:spacing w:before="112" w:after="64" w:line="264" w:lineRule="auto"/>
        <w:keepLines w:val="1"/>
        <w:keepNext w:val="1"/>
      </w:pPr>
      <w:r>
        <w:rPr>
          <w:b/>
          <w:i w:val="0"/>
          <w:color w:val="0F2346"/>
          <w:sz w:val="28"/>
        </w:rPr>
        <w:t>8.  CTA and watch next</w:t>
      </w:r>
    </w:p>
    <w:p>
      <w:pPr>
        <w:spacing w:before="0" w:after="40" w:line="264" w:lineRule="auto"/>
        <w:keepLines w:val="1"/>
      </w:pPr>
      <w:r>
        <w:rPr>
          <w:b w:val="0"/>
          <w:i w:val="0"/>
          <w:sz w:val="22"/>
        </w:rPr>
        <w:t>One product CTA only: Free Career Evidence Starter — https://temidayoafonja.com/career-evidence-starter</w:t>
      </w:r>
    </w:p>
    <w:p>
      <w:pPr>
        <w:spacing w:before="0" w:after="48" w:line="264" w:lineRule="auto"/>
        <w:keepLines w:val="1"/>
      </w:pPr>
      <w:r>
        <w:rPr>
          <w:b/>
          <w:i w:val="0"/>
          <w:sz w:val="22"/>
        </w:rPr>
        <w:t>Use the direct public landing-page URL only. Do not expose a PDF link, and do not restore the Capability Formation Field Kit.</w:t>
      </w:r>
    </w:p>
    <w:p>
      <w:pPr>
        <w:spacing w:before="0" w:after="64" w:line="264" w:lineRule="auto"/>
        <w:keepLines w:val="1"/>
      </w:pPr>
      <w:r>
        <w:rPr>
          <w:b/>
          <w:i w:val="0"/>
          <w:color w:val="0F2346"/>
          <w:sz w:val="22"/>
        </w:rPr>
        <w:t>Slide 12 and reveal frame 21 carry the REAL Career Evidence Starter artifact: the cover in front, the Portable Proof Line page behind. No Field Kit imagery remains anywhere in either deck. Do not restore it.</w:t>
      </w:r>
    </w:p>
    <w:p>
      <w:pPr>
        <w:spacing w:before="0" w:after="40" w:line="264" w:lineRule="auto"/>
        <w:keepLines w:val="1"/>
      </w:pPr>
      <w:r>
        <w:rPr>
          <w:b/>
          <w:i w:val="0"/>
          <w:sz w:val="22"/>
        </w:rPr>
        <w:t>Watch next: Is Your Job Making You Less Marketable?</w:t>
      </w:r>
    </w:p>
    <w:p>
      <w:pPr>
        <w:spacing w:before="0" w:after="64" w:line="264" w:lineRule="auto"/>
        <w:keepLines w:val="1"/>
      </w:pPr>
      <w:r>
        <w:rPr>
          <w:b w:val="0"/>
          <w:i w:val="0"/>
          <w:color w:val="5A6B82"/>
          <w:sz w:val="21"/>
        </w:rPr>
        <w:t>Slide 13 carries the correct Video 2 title, “Is Your Job Making You Less Marketable?”. It was inspected in this pass and matches the spoken route.</w:t>
      </w:r>
    </w:p>
    <w:p>
      <w:pPr>
        <w:spacing w:before="0" w:after="64" w:line="264" w:lineRule="auto"/>
        <w:keepLines w:val="1"/>
      </w:pPr>
      <w:r>
        <w:rPr>
          <w:b/>
          <w:i w:val="0"/>
          <w:color w:val="9B2C10"/>
          <w:sz w:val="22"/>
        </w:rPr>
        <w:t>Do not leave Subscribe as the only end-screen element.</w:t>
      </w:r>
    </w:p>
    <w:p>
      <w:pPr>
        <w:spacing w:before="112" w:after="64" w:line="264" w:lineRule="auto"/>
        <w:keepLines w:val="1"/>
        <w:keepNext w:val="1"/>
      </w:pPr>
      <w:r>
        <w:rPr>
          <w:b/>
          <w:i w:val="0"/>
          <w:color w:val="0F2346"/>
          <w:sz w:val="28"/>
        </w:rPr>
        <w:t>9.  Editing rhythm after 0:30</w:t>
      </w:r>
    </w:p>
    <w:p>
      <w:pPr>
        <w:spacing w:before="0" w:after="64" w:line="264"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24" w:line="264" w:lineRule="auto"/>
        <w:keepLines w:val="1"/>
      </w:pPr>
      <w:r>
        <w:rPr>
          <w:b w:val="0"/>
          <w:i w:val="0"/>
          <w:sz w:val="22"/>
        </w:rPr>
        <w:t>—  preserve Temidayo's natural pacing;        —  use the slides as support;</w:t>
      </w:r>
    </w:p>
    <w:p>
      <w:pPr>
        <w:spacing w:before="0" w:after="24" w:line="264" w:lineRule="auto"/>
        <w:keepLines w:val="1"/>
      </w:pPr>
      <w:r>
        <w:rPr>
          <w:b w:val="0"/>
          <w:i w:val="0"/>
          <w:sz w:val="22"/>
        </w:rPr>
        <w:t>—  avoid decorative motion;        —  avoid constant punch-ins;</w:t>
      </w:r>
    </w:p>
    <w:p>
      <w:pPr>
        <w:spacing w:before="0" w:after="24" w:line="264" w:lineRule="auto"/>
        <w:keepLines w:val="1"/>
      </w:pPr>
      <w:r>
        <w:rPr>
          <w:b w:val="0"/>
          <w:i w:val="0"/>
          <w:sz w:val="22"/>
        </w:rPr>
        <w:t>—  avoid stock office footage;        —  avoid generic résumé B-roll;</w:t>
      </w:r>
    </w:p>
    <w:p>
      <w:pPr>
        <w:spacing w:before="0" w:after="24" w:line="264" w:lineRule="auto"/>
        <w:keepLines w:val="1"/>
      </w:pPr>
      <w:r>
        <w:rPr>
          <w:b w:val="0"/>
          <w:i w:val="0"/>
          <w:sz w:val="22"/>
        </w:rPr>
        <w:t>—  avoid red warning graphics;        —  avoid fake urgency;</w:t>
      </w:r>
    </w:p>
    <w:p>
      <w:pPr>
        <w:spacing w:before="0" w:after="24" w:line="264" w:lineRule="auto"/>
        <w:keepLines w:val="1"/>
      </w:pPr>
      <w:r>
        <w:rPr>
          <w:b w:val="0"/>
          <w:i w:val="0"/>
          <w:sz w:val="22"/>
        </w:rPr>
        <w:t>—  avoid flashy transitions.</w:t>
      </w:r>
    </w:p>
    <w:p>
      <w:pPr>
        <w:spacing w:before="112" w:after="64" w:line="264" w:lineRule="auto"/>
        <w:keepLines w:val="1"/>
        <w:keepNext w:val="1"/>
      </w:pPr>
      <w:r>
        <w:rPr>
          <w:b/>
          <w:i w:val="0"/>
          <w:color w:val="0F2346"/>
          <w:sz w:val="28"/>
        </w:rPr>
        <w:t>10.  Visual “do not use” list</w:t>
      </w:r>
    </w:p>
    <w:p>
      <w:pPr>
        <w:spacing w:before="0" w:after="24" w:line="264" w:lineRule="auto"/>
        <w:keepLines w:val="1"/>
      </w:pPr>
      <w:r>
        <w:rPr>
          <w:b w:val="0"/>
          <w:i w:val="0"/>
          <w:sz w:val="22"/>
        </w:rPr>
        <w:t>—  stock office B-roll;        —  generic résumé graphics;</w:t>
      </w:r>
    </w:p>
    <w:p>
      <w:pPr>
        <w:spacing w:before="0" w:after="24" w:line="264" w:lineRule="auto"/>
        <w:keepLines w:val="1"/>
      </w:pPr>
      <w:r>
        <w:rPr>
          <w:b w:val="0"/>
          <w:i w:val="0"/>
          <w:sz w:val="22"/>
        </w:rPr>
        <w:t>—  employer logos;        —  red warning graphics;</w:t>
      </w:r>
    </w:p>
    <w:p>
      <w:pPr>
        <w:spacing w:before="0" w:after="24" w:line="264" w:lineRule="auto"/>
        <w:keepLines w:val="1"/>
      </w:pPr>
      <w:r>
        <w:rPr>
          <w:b w:val="0"/>
          <w:i w:val="0"/>
          <w:sz w:val="22"/>
        </w:rPr>
        <w:t>—  fake shock expressions;        —  countdown or alarm motifs;</w:t>
      </w:r>
    </w:p>
    <w:p>
      <w:pPr>
        <w:spacing w:before="0" w:after="24" w:line="264" w:lineRule="auto"/>
        <w:keepLines w:val="1"/>
      </w:pPr>
      <w:r>
        <w:rPr>
          <w:b w:val="0"/>
          <w:i w:val="0"/>
          <w:sz w:val="22"/>
        </w:rPr>
        <w:t>—  constant zooms;        —  AI-generated scenery;</w:t>
      </w:r>
    </w:p>
    <w:p>
      <w:pPr>
        <w:spacing w:before="0" w:after="24" w:line="264" w:lineRule="auto"/>
        <w:keepLines w:val="1"/>
      </w:pPr>
      <w:r>
        <w:rPr>
          <w:b w:val="0"/>
          <w:i w:val="0"/>
          <w:sz w:val="22"/>
        </w:rPr>
        <w:t>—  social-media template effects.</w:t>
      </w:r>
    </w:p>
    <w:p>
      <w:pPr>
        <w:spacing w:before="112" w:after="64" w:line="264" w:lineRule="auto"/>
        <w:keepLines w:val="1"/>
        <w:keepNext w:val="1"/>
      </w:pPr>
      <w:r>
        <w:rPr>
          <w:b/>
          <w:i w:val="0"/>
          <w:color w:val="0F2346"/>
          <w:sz w:val="28"/>
        </w:rPr>
        <w:t>11.  Speaker-note update record</w:t>
      </w:r>
    </w:p>
    <w:p>
      <w:pPr>
        <w:spacing w:before="0" w:after="64" w:line="264" w:lineRule="auto"/>
      </w:pPr>
      <w:r>
        <w:rPr>
          <w:b w:val="0"/>
          <w:i w:val="0"/>
          <w:sz w:val="22"/>
        </w:rPr>
        <w:t>Both decks ship with speaker notes rewritten for the v3.0 direct-address script. Nothing on any slide was changed.</w:t>
      </w:r>
    </w:p>
    <w:p>
      <w:pPr>
        <w:spacing w:before="0" w:after="24" w:line="264" w:lineRule="auto"/>
        <w:keepLines w:val="1"/>
      </w:pPr>
      <w:r>
        <w:rPr>
          <w:b w:val="0"/>
          <w:i w:val="0"/>
          <w:sz w:val="22"/>
        </w:rPr>
        <w:t>—  Main deck: 13 notes parts rewritten, one per slide.</w:t>
      </w:r>
    </w:p>
    <w:p>
      <w:pPr>
        <w:spacing w:before="0" w:after="24" w:line="264" w:lineRule="auto"/>
        <w:keepLines w:val="1"/>
      </w:pPr>
      <w:r>
        <w:rPr>
          <w:b w:val="0"/>
          <w:i w:val="0"/>
          <w:sz w:val="22"/>
        </w:rPr>
        <w:t>—  Reveal deck: 22 notes parts rewritten, one per frame.</w:t>
      </w:r>
    </w:p>
    <w:p>
      <w:pPr>
        <w:spacing w:before="0" w:after="24" w:line="264" w:lineRule="auto"/>
        <w:keepLines w:val="1"/>
      </w:pPr>
      <w:r>
        <w:rPr>
          <w:b w:val="0"/>
          <w:i w:val="0"/>
          <w:sz w:val="22"/>
        </w:rPr>
        <w:t>—  Slide XML, geometry, typography, palette and media: unchanged.</w:t>
      </w:r>
    </w:p>
    <w:p>
      <w:pPr>
        <w:spacing w:before="0" w:after="24" w:line="264" w:lineRule="auto"/>
        <w:keepLines w:val="1"/>
      </w:pPr>
      <w:r>
        <w:rPr>
          <w:b w:val="0"/>
          <w:i w:val="0"/>
          <w:sz w:val="22"/>
        </w:rPr>
        <w:t>—  Timings are script-derived working estimates at 145 words per minute for the 1,409-word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