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" w:line="269" w:lineRule="auto"/>
      </w:pPr>
      <w:r>
        <w:rPr>
          <w:b/>
          <w:i w:val="0"/>
          <w:color w:val="9B2C10"/>
          <w:sz w:val="44"/>
        </w:rPr>
        <w:t>EDITOR ONLY</w:t>
      </w:r>
    </w:p>
    <w:p>
      <w:pPr>
        <w:spacing w:before="0" w:after="74" w:line="264" w:lineRule="auto"/>
      </w:pPr>
      <w:r>
        <w:rPr>
          <w:b/>
          <w:i w:val="0"/>
          <w:color w:val="0F2346"/>
          <w:sz w:val="36"/>
        </w:rPr>
        <w:t>VIDEO 1 — FOUR STANDALONE SHORTS</w:t>
      </w:r>
    </w:p>
    <w:p>
      <w:pPr>
        <w:spacing w:before="0" w:after="148" w:line="269" w:lineRule="auto"/>
        <w:shd w:val="clear" w:fill="F3F0E8"/>
      </w:pPr>
      <w:r>
        <w:rPr>
          <w:b w:val="0"/>
          <w:i/>
          <w:color w:val="5A6B82"/>
          <w:sz w:val="22"/>
        </w:rPr>
        <w:t>This document is for the editor. It is separate from the four Short recording documents and must not be placed on Temidayo's recording screen.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How these are produced</w:t>
      </w:r>
    </w:p>
    <w:p>
      <w:pPr>
        <w:spacing w:before="0" w:after="92" w:line="269" w:lineRule="auto"/>
        <w:keepLines w:val="1"/>
      </w:pPr>
      <w:r>
        <w:rPr>
          <w:b/>
          <w:i w:val="0"/>
          <w:sz w:val="22"/>
        </w:rPr>
        <w:t>These are separately recorded 9:16 Shorts. They are NOT excerpts cut from the long-form video.</w:t>
      </w:r>
    </w:p>
    <w:p>
      <w:pPr>
        <w:spacing w:before="0" w:after="56" w:line="269" w:lineRule="auto"/>
      </w:pPr>
      <w:r>
        <w:rPr>
          <w:b w:val="0"/>
          <w:i w:val="0"/>
          <w:sz w:val="22"/>
        </w:rPr>
        <w:t>Each Short needs: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2"/>
        </w:rPr>
        <w:t>—  an immediate verbal hook;        —  a corresponding on-screen hook;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2"/>
        </w:rPr>
        <w:t>—  meaningful visual movement;        —  accurate mobile-safe captions;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2"/>
        </w:rPr>
        <w:t>—  premium, restrained editorial pacing;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2"/>
        </w:rPr>
        <w:t>—  Video 1 added as the Related Video when available.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Direct address is part of the creative</w:t>
      </w:r>
    </w:p>
    <w:p>
      <w:pPr>
        <w:spacing w:before="0" w:after="74" w:line="269" w:lineRule="auto"/>
        <w:shd w:val="clear" w:fill="F3F0E8"/>
        <w:keepLines w:val="1"/>
      </w:pPr>
      <w:r>
        <w:rPr>
          <w:b/>
          <w:i w:val="0"/>
          <w:color w:val="0F2346"/>
          <w:sz w:val="22"/>
        </w:rPr>
        <w:t>Temidayo is speaking to ONE experienced professional sitting across from her. Not a crowd, not a conference room, not an abstract audience.</w:t>
      </w:r>
    </w:p>
    <w:p>
      <w:pPr>
        <w:spacing w:before="92" w:after="46" w:line="269" w:lineRule="auto"/>
        <w:keepLines w:val="1"/>
        <w:keepNext w:val="1"/>
      </w:pPr>
      <w:r>
        <w:rPr>
          <w:b/>
          <w:i w:val="0"/>
          <w:color w:val="0F2346"/>
          <w:sz w:val="23"/>
        </w:rPr>
        <w:t>Editing should support that relationship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keep direct questions connected to Temidayo's face where useful;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avoid making this feel like a keynote;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avoid overusing quote cards;        —  let the slides carry structure;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let Temidayo carry relationship, interpretation and trust;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preserve the pauses around direct questions;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avoid generic “career guru” visual language.</w:t>
      </w:r>
    </w:p>
    <w:p>
      <w:pPr>
        <w:spacing w:before="92" w:after="46" w:line="269" w:lineRule="auto"/>
        <w:keepLines w:val="1"/>
        <w:keepNext w:val="1"/>
      </w:pPr>
      <w:r>
        <w:rPr>
          <w:b/>
          <w:i w:val="0"/>
          <w:color w:val="0F2346"/>
          <w:sz w:val="23"/>
        </w:rPr>
        <w:t>Relational beats — do not cut these as filler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1"/>
        </w:rPr>
        <w:t>“So before you call yourself a beginner, ask…”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1"/>
        </w:rPr>
        <w:t>“I want you to ask…”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1"/>
        </w:rPr>
        <w:t>“Let me show you why a project name is not proof of your value.”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1"/>
        </w:rPr>
        <w:t>“Underneath it, I want you to answer three questions.”</w:t>
      </w:r>
    </w:p>
    <w:p>
      <w:pPr>
        <w:spacing w:before="0" w:after="74" w:line="269" w:lineRule="auto"/>
        <w:shd w:val="clear" w:fill="F3F0E8"/>
        <w:keepLines w:val="1"/>
      </w:pPr>
      <w:r>
        <w:rPr>
          <w:b/>
          <w:i w:val="0"/>
          <w:color w:val="9B2C10"/>
          <w:sz w:val="22"/>
        </w:rPr>
        <w:t>They are part of the viewer relationship, not padding. Do not trim them for pace, and do not let a graphic cover Temidayo while she says one.</w:t>
      </w:r>
    </w:p>
    <w:p>
      <w:pPr>
        <w:spacing w:before="0" w:after="74" w:line="269" w:lineRule="auto"/>
        <w:keepLines w:val="1"/>
      </w:pPr>
      <w:r>
        <w:rPr>
          <w:b w:val="0"/>
          <w:i w:val="0"/>
          <w:sz w:val="22"/>
        </w:rPr>
        <w:t>Do not reintroduce detached phrasing — “some people”, “professionals often”, “people may”, “a person should”, “employees often”, “workers may”, “many professionals” — anywhere in the edit, the captions or the on-screen text.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SHORT 1</w:t>
      </w:r>
    </w:p>
    <w:p>
      <w:pPr>
        <w:spacing w:before="0" w:after="46" w:line="269" w:lineRule="auto"/>
        <w:keepLines w:val="1"/>
      </w:pPr>
      <w:r>
        <w:rPr>
          <w:b w:val="0"/>
          <w:i w:val="0"/>
          <w:color w:val="5A6B82"/>
          <w:sz w:val="22"/>
        </w:rPr>
        <w:t>Role:  Recognition</w:t>
      </w:r>
    </w:p>
    <w:p>
      <w:pPr>
        <w:spacing w:before="0" w:after="74" w:line="269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NEW CONTEXT ≠ NEW TO EVERYTHING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Visual:  NEW COMPANY  /  NOT NEW TO EVERY PROBLEM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Keep the relearning boundary. This Short must not promise that everything transfers.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End on:  WHAT CAN I CARRY?</w:t>
      </w:r>
    </w:p>
    <w:p>
      <w:pPr>
        <w:spacing w:before="36" w:after="56" w:line="269" w:lineRule="auto"/>
        <w:keepLines w:val="1"/>
      </w:pPr>
      <w:r>
        <w:rPr>
          <w:b w:val="0"/>
          <w:i w:val="0"/>
          <w:color w:val="5A6B82"/>
          <w:sz w:val="21"/>
        </w:rPr>
        <w:t>Related Video:  Video 1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SHORT 2</w:t>
      </w:r>
    </w:p>
    <w:p>
      <w:pPr>
        <w:spacing w:before="0" w:after="46" w:line="269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74" w:line="269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EXPERIENCE ≠ EVIDENCE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Restrained two-column contrast. No résumé-scroll animation.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End on:  WHERE HAVE I DEMONSTRATED IT?</w:t>
      </w:r>
    </w:p>
    <w:p>
      <w:pPr>
        <w:spacing w:before="36" w:after="56" w:line="269" w:lineRule="auto"/>
        <w:keepLines w:val="1"/>
      </w:pPr>
      <w:r>
        <w:rPr>
          <w:b w:val="0"/>
          <w:i w:val="0"/>
          <w:color w:val="5A6B82"/>
          <w:sz w:val="21"/>
        </w:rPr>
        <w:t>Related Video:  Video 1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SHORT 3</w:t>
      </w:r>
    </w:p>
    <w:p>
      <w:pPr>
        <w:spacing w:before="0" w:after="46" w:line="269" w:lineRule="auto"/>
        <w:keepLines w:val="1"/>
      </w:pPr>
      <w:r>
        <w:rPr>
          <w:b w:val="0"/>
          <w:i w:val="0"/>
          <w:color w:val="5A6B82"/>
          <w:sz w:val="22"/>
        </w:rPr>
        <w:t>Role:  Proof / personal evidence</w:t>
      </w:r>
    </w:p>
    <w:p>
      <w:pPr>
        <w:spacing w:before="0" w:after="74" w:line="269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47 → 75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FACTUAL BOUNDARY: ONE measure of new-hire integration, from a redesign Temidayo LED WITH HER TEAM. No employer named, no 30% retention figure, no $2M figure, no extra outcome.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Show the before and after as restrained text, exactly as on slide 7.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End on:  ONE MEASURE. TEAM WORK. STATED PRECISELY.</w:t>
      </w:r>
    </w:p>
    <w:p>
      <w:pPr>
        <w:spacing w:before="36" w:after="56" w:line="269" w:lineRule="auto"/>
        <w:keepLines w:val="1"/>
      </w:pPr>
      <w:r>
        <w:rPr>
          <w:b w:val="0"/>
          <w:i w:val="0"/>
          <w:color w:val="5A6B82"/>
          <w:sz w:val="21"/>
        </w:rPr>
        <w:t>Related Video:  Video 1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SHORT 4</w:t>
      </w:r>
    </w:p>
    <w:p>
      <w:pPr>
        <w:spacing w:before="0" w:after="46" w:line="269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74" w:line="269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LOOK UNDER THE TITLE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Reveal the three questions one at a time.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Then the repeating-verb step. Do not turn the verb list into a personality quiz.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End on:  ATTACH IT TO EVIDENCE.</w:t>
      </w:r>
    </w:p>
    <w:p>
      <w:pPr>
        <w:spacing w:before="36" w:after="56" w:line="269" w:lineRule="auto"/>
        <w:keepLines w:val="1"/>
      </w:pPr>
      <w:r>
        <w:rPr>
          <w:b w:val="0"/>
          <w:i w:val="0"/>
          <w:color w:val="5A6B82"/>
          <w:sz w:val="21"/>
        </w:rPr>
        <w:t>Related Video:  Video 1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All Shorts — visual boundaries</w:t>
      </w:r>
    </w:p>
    <w:p>
      <w:pPr>
        <w:spacing w:before="0" w:after="46" w:line="269" w:lineRule="auto"/>
      </w:pPr>
      <w:r>
        <w:rPr>
          <w:b w:val="0"/>
          <w:i w:val="0"/>
          <w:sz w:val="22"/>
        </w:rPr>
        <w:t>Do not use: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stock office B-roll;        —  generic résumé graphics;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employer logos;        —  Field Kit imagery;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fake shock expressions;        —  countdown motifs;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constant zooms;        —  AI-generated scenery;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social-media template effects.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