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 w:line="264" w:lineRule="auto"/>
      </w:pPr>
      <w:r>
        <w:rPr>
          <w:b/>
          <w:i w:val="0"/>
          <w:color w:val="9B2C10"/>
          <w:sz w:val="44"/>
        </w:rPr>
        <w:t>EDITOR ONLY</w:t>
      </w:r>
    </w:p>
    <w:p>
      <w:pPr>
        <w:spacing w:before="0" w:after="16" w:line="264" w:lineRule="auto"/>
      </w:pPr>
      <w:r>
        <w:rPr>
          <w:b/>
          <w:i w:val="0"/>
          <w:caps/>
          <w:color w:val="8A6D1E"/>
          <w:sz w:val="24"/>
        </w:rPr>
        <w:t>VIDEO 2  ·  v4.0</w:t>
      </w:r>
    </w:p>
    <w:p>
      <w:pPr>
        <w:spacing w:before="0" w:after="48" w:line="264" w:lineRule="auto"/>
      </w:pPr>
      <w:r>
        <w:rPr>
          <w:b/>
          <w:i w:val="0"/>
          <w:color w:val="0F2346"/>
          <w:sz w:val="40"/>
        </w:rPr>
        <w:t>Is Your Job Making You Less Marketable?</w:t>
      </w:r>
    </w:p>
    <w:p>
      <w:pPr>
        <w:spacing w:before="0" w:after="128" w:line="264" w:lineRule="auto"/>
        <w:shd w:val="clear" w:fill="F3F0E8"/>
      </w:pPr>
      <w:r>
        <w:rPr>
          <w:b w:val="0"/>
          <w:i/>
          <w:color w:val="5A6B82"/>
          <w:sz w:val="22"/>
        </w:rPr>
        <w:t>This document is for the editor. It is NOT Temidayo's teleprompter and must not be placed on the recording screen.</w:t>
      </w:r>
    </w:p>
    <w:p>
      <w:pPr>
        <w:spacing w:before="112" w:after="64" w:line="264" w:lineRule="auto"/>
        <w:keepLines w:val="1"/>
        <w:keepNext w:val="1"/>
      </w:pPr>
      <w:r>
        <w:rPr>
          <w:b/>
          <w:i w:val="0"/>
          <w:color w:val="0F2346"/>
          <w:sz w:val="28"/>
        </w:rPr>
        <w:t>1.  Locked metadata</w:t>
      </w:r>
    </w:p>
    <w:p>
      <w:pPr>
        <w:spacing w:before="0" w:after="40" w:line="264" w:lineRule="auto"/>
        <w:keepLines w:val="1"/>
      </w:pPr>
      <w:r>
        <w:rPr>
          <w:b w:val="0"/>
          <w:i w:val="0"/>
          <w:sz w:val="22"/>
        </w:rPr>
        <w:t>Title:                   Is Your Job Making You Less Marketable?</w:t>
      </w:r>
    </w:p>
    <w:p>
      <w:pPr>
        <w:spacing w:before="0" w:after="40" w:line="264" w:lineRule="auto"/>
        <w:keepLines w:val="1"/>
      </w:pPr>
      <w:r>
        <w:rPr>
          <w:b w:val="0"/>
          <w:i w:val="0"/>
          <w:sz w:val="22"/>
        </w:rPr>
        <w:t>Thumbnail:               VALUABLE HERE. STUCK HERE?</w:t>
      </w:r>
    </w:p>
    <w:p>
      <w:pPr>
        <w:spacing w:before="0" w:after="40" w:line="264" w:lineRule="auto"/>
        <w:keepLines w:val="1"/>
      </w:pPr>
      <w:r>
        <w:rPr>
          <w:b w:val="0"/>
          <w:i w:val="0"/>
          <w:sz w:val="22"/>
        </w:rPr>
        <w:t>Primary search phrase:   is your job making you less marketable</w:t>
      </w:r>
    </w:p>
    <w:p>
      <w:pPr>
        <w:spacing w:before="0" w:after="40" w:line="264" w:lineRule="auto"/>
        <w:keepLines w:val="1"/>
      </w:pPr>
      <w:r>
        <w:rPr>
          <w:b w:val="0"/>
          <w:i w:val="0"/>
          <w:sz w:val="22"/>
        </w:rPr>
        <w:t>Primary CTA:             Capability Formation Field Kit</w:t>
      </w:r>
    </w:p>
    <w:p>
      <w:pPr>
        <w:spacing w:before="0" w:after="40" w:line="264" w:lineRule="auto"/>
        <w:keepLines w:val="1"/>
      </w:pPr>
      <w:r>
        <w:rPr>
          <w:b w:val="0"/>
          <w:i w:val="0"/>
          <w:sz w:val="22"/>
        </w:rPr>
        <w:t>CTA URL:                 https://temidayoafonja.com/fieldkit</w:t>
      </w:r>
    </w:p>
    <w:p>
      <w:pPr>
        <w:spacing w:before="0" w:after="40" w:line="264" w:lineRule="auto"/>
        <w:keepLines w:val="1"/>
      </w:pPr>
      <w:r>
        <w:rPr>
          <w:b w:val="0"/>
          <w:i w:val="0"/>
          <w:sz w:val="22"/>
        </w:rPr>
        <w:t>Watch next:              3 Things to Do Before Quitting Your Job</w:t>
      </w:r>
    </w:p>
    <w:p>
      <w:pPr>
        <w:spacing w:before="0" w:after="40" w:line="264" w:lineRule="auto"/>
        <w:keepLines w:val="1"/>
      </w:pPr>
      <w:r>
        <w:rPr>
          <w:b w:val="0"/>
          <w:i w:val="0"/>
          <w:sz w:val="22"/>
        </w:rPr>
        <w:t>Strategic job:           Recognition / diagnosis</w:t>
      </w:r>
    </w:p>
    <w:p>
      <w:pPr>
        <w:spacing w:before="0" w:after="40" w:line="264" w:lineRule="auto"/>
        <w:keepLines w:val="1"/>
      </w:pPr>
      <w:r>
        <w:rPr>
          <w:b w:val="0"/>
          <w:i w:val="0"/>
          <w:sz w:val="22"/>
        </w:rPr>
        <w:t>Core distinction:        VALUABLE HERE is not automatically the same as LEGIBLE ELSEWHERE.</w:t>
      </w:r>
    </w:p>
    <w:p>
      <w:pPr>
        <w:spacing w:before="0" w:after="40" w:line="264" w:lineRule="auto"/>
        <w:keepLines w:val="1"/>
      </w:pPr>
      <w:r>
        <w:rPr>
          <w:b w:val="0"/>
          <w:i w:val="0"/>
          <w:sz w:val="22"/>
        </w:rPr>
        <w:t>Memory device:           The three tests. No acronym, no second framework.</w:t>
      </w:r>
    </w:p>
    <w:p>
      <w:pPr>
        <w:spacing w:before="0" w:after="64" w:line="264" w:lineRule="auto"/>
        <w:keepLines w:val="1"/>
      </w:pPr>
      <w:r>
        <w:rPr>
          <w:b/>
          <w:i w:val="0"/>
          <w:color w:val="9B2C10"/>
          <w:sz w:val="22"/>
        </w:rPr>
        <w:t>Do not add Keep the Proof, the Career Evidence Starter or a second framework to this video.</w:t>
      </w:r>
    </w:p>
    <w:p>
      <w:pPr>
        <w:spacing w:before="0" w:after="80" w:line="264" w:lineRule="auto"/>
        <w:shd w:val="clear" w:fill="F3F0E8"/>
        <w:keepLines w:val="1"/>
      </w:pPr>
      <w:r>
        <w:rPr>
          <w:b/>
          <w:i w:val="0"/>
          <w:color w:val="9B2C10"/>
          <w:sz w:val="22"/>
        </w:rPr>
        <w:t>THUMBNAIL COPY SUPERSEDED, 3 September 2026. The authoritative thumbnail copy is “VALUABLE HERE. STUCK HERE?”. It supersedes “YOUR SKILLS ARE STALLING”. The thumbnail artwork currently in the repository still carries the old words and is therefore SUPERSEDED — REPLACE WITH APPROVED CANVA EXPORT BEFORE PUBLISHING. No thumbnail was generated or redesigned in this pass, and the missing export does not block the recording package.</w:t>
      </w:r>
    </w:p>
    <w:p>
      <w:pPr>
        <w:spacing w:before="112" w:after="64" w:line="264" w:lineRule="auto"/>
        <w:keepLines w:val="1"/>
        <w:keepNext w:val="1"/>
      </w:pPr>
      <w:r>
        <w:rPr>
          <w:b/>
          <w:i w:val="0"/>
          <w:color w:val="0F2346"/>
          <w:sz w:val="28"/>
        </w:rPr>
        <w:t>2.  Direct address is part of the creative</w:t>
      </w:r>
    </w:p>
    <w:p>
      <w:pPr>
        <w:spacing w:before="0" w:after="64" w:line="264" w:lineRule="auto"/>
        <w:shd w:val="clear" w:fill="F3F0E8"/>
        <w:keepLines w:val="1"/>
      </w:pPr>
      <w:r>
        <w:rPr>
          <w:b/>
          <w:i w:val="0"/>
          <w:color w:val="0F2346"/>
          <w:sz w:val="22"/>
        </w:rPr>
        <w:t>Temidayo is speaking to ONE experienced professional sitting across from her. Not a crowd, not a conference room, not an abstract audience.</w:t>
      </w:r>
    </w:p>
    <w:p>
      <w:pPr>
        <w:spacing w:before="80" w:after="40" w:line="264" w:lineRule="auto"/>
        <w:keepLines w:val="1"/>
        <w:keepNext w:val="1"/>
      </w:pPr>
      <w:r>
        <w:rPr>
          <w:b/>
          <w:i w:val="0"/>
          <w:color w:val="0F2346"/>
          <w:sz w:val="23"/>
        </w:rPr>
        <w:t>Editing should support that relationship</w:t>
      </w:r>
    </w:p>
    <w:p>
      <w:pPr>
        <w:spacing w:before="0" w:after="24" w:line="264" w:lineRule="auto"/>
        <w:keepLines w:val="1"/>
      </w:pPr>
      <w:r>
        <w:rPr>
          <w:b w:val="0"/>
          <w:i w:val="0"/>
          <w:sz w:val="22"/>
        </w:rPr>
        <w:t>—  keep direct questions connected to Temidayo's face where useful;</w:t>
      </w:r>
    </w:p>
    <w:p>
      <w:pPr>
        <w:spacing w:before="0" w:after="24" w:line="264" w:lineRule="auto"/>
        <w:keepLines w:val="1"/>
      </w:pPr>
      <w:r>
        <w:rPr>
          <w:b w:val="0"/>
          <w:i w:val="0"/>
          <w:sz w:val="22"/>
        </w:rPr>
        <w:t>—  avoid making this feel like a keynote;</w:t>
      </w:r>
    </w:p>
    <w:p>
      <w:pPr>
        <w:spacing w:before="0" w:after="24" w:line="264" w:lineRule="auto"/>
        <w:keepLines w:val="1"/>
      </w:pPr>
      <w:r>
        <w:rPr>
          <w:b w:val="0"/>
          <w:i w:val="0"/>
          <w:sz w:val="22"/>
        </w:rPr>
        <w:t>—  avoid overusing quote cards;        —  let the slides carry structure;</w:t>
      </w:r>
    </w:p>
    <w:p>
      <w:pPr>
        <w:spacing w:before="0" w:after="24" w:line="264" w:lineRule="auto"/>
        <w:keepLines w:val="1"/>
      </w:pPr>
      <w:r>
        <w:rPr>
          <w:b w:val="0"/>
          <w:i w:val="0"/>
          <w:sz w:val="22"/>
        </w:rPr>
        <w:t>—  let Temidayo carry relationship, interpretation and trust;</w:t>
      </w:r>
    </w:p>
    <w:p>
      <w:pPr>
        <w:spacing w:before="0" w:after="24" w:line="264" w:lineRule="auto"/>
        <w:keepLines w:val="1"/>
      </w:pPr>
      <w:r>
        <w:rPr>
          <w:b w:val="0"/>
          <w:i w:val="0"/>
          <w:sz w:val="22"/>
        </w:rPr>
        <w:t>—  preserve the pauses around direct questions;</w:t>
      </w:r>
    </w:p>
    <w:p>
      <w:pPr>
        <w:spacing w:before="0" w:after="24" w:line="264" w:lineRule="auto"/>
        <w:keepLines w:val="1"/>
      </w:pPr>
      <w:r>
        <w:rPr>
          <w:b w:val="0"/>
          <w:i w:val="0"/>
          <w:sz w:val="22"/>
        </w:rPr>
        <w:t>—  avoid generic “career guru” visual language.</w:t>
      </w:r>
    </w:p>
    <w:p>
      <w:pPr>
        <w:spacing w:before="80" w:after="40" w:line="264" w:lineRule="auto"/>
        <w:keepLines w:val="1"/>
        <w:keepNext w:val="1"/>
      </w:pPr>
      <w:r>
        <w:rPr>
          <w:b/>
          <w:i w:val="0"/>
          <w:color w:val="0F2346"/>
          <w:sz w:val="23"/>
        </w:rPr>
        <w:t>Relational beats — do not cut these as filler</w:t>
      </w:r>
    </w:p>
    <w:p>
      <w:pPr>
        <w:spacing w:before="0" w:after="40" w:line="264" w:lineRule="auto"/>
        <w:keepLines w:val="1"/>
      </w:pPr>
      <w:r>
        <w:rPr>
          <w:b w:val="0"/>
          <w:i w:val="0"/>
          <w:sz w:val="21"/>
        </w:rPr>
        <w:t>“And you may not notice it at first, because everything around you can still look like success.”</w:t>
      </w:r>
    </w:p>
    <w:p>
      <w:pPr>
        <w:spacing w:before="0" w:after="40" w:line="264" w:lineRule="auto"/>
        <w:keepLines w:val="1"/>
      </w:pPr>
      <w:r>
        <w:rPr>
          <w:b w:val="0"/>
          <w:i w:val="0"/>
          <w:sz w:val="21"/>
        </w:rPr>
        <w:t>“And that is what I want to help you do here.”</w:t>
      </w:r>
    </w:p>
    <w:p>
      <w:pPr>
        <w:spacing w:before="0" w:after="40" w:line="264" w:lineRule="auto"/>
        <w:keepLines w:val="1"/>
      </w:pPr>
      <w:r>
        <w:rPr>
          <w:b w:val="0"/>
          <w:i w:val="0"/>
          <w:sz w:val="21"/>
        </w:rPr>
        <w:t>“Let me start you with two different questions.”</w:t>
      </w:r>
    </w:p>
    <w:p>
      <w:pPr>
        <w:spacing w:before="0" w:after="40" w:line="264" w:lineRule="auto"/>
        <w:keepLines w:val="1"/>
      </w:pPr>
      <w:r>
        <w:rPr>
          <w:b w:val="0"/>
          <w:i w:val="0"/>
          <w:sz w:val="21"/>
        </w:rPr>
        <w:t>“The question I want you to answer is simple…”</w:t>
      </w:r>
    </w:p>
    <w:p>
      <w:pPr>
        <w:spacing w:before="0" w:after="40" w:line="264" w:lineRule="auto"/>
        <w:keepLines w:val="1"/>
      </w:pPr>
      <w:r>
        <w:rPr>
          <w:b w:val="0"/>
          <w:i w:val="0"/>
          <w:sz w:val="21"/>
        </w:rPr>
        <w:t>“…here is what I want you to look at…”</w:t>
      </w:r>
    </w:p>
    <w:p>
      <w:pPr>
        <w:spacing w:before="0" w:after="64" w:line="264" w:lineRule="auto"/>
        <w:shd w:val="clear" w:fill="F3F0E8"/>
        <w:keepLines w:val="1"/>
      </w:pPr>
      <w:r>
        <w:rPr>
          <w:b/>
          <w:i w:val="0"/>
          <w:color w:val="9B2C10"/>
          <w:sz w:val="22"/>
        </w:rPr>
        <w:t>They are part of the viewer relationship, not padding. Do not trim them for pace, and do not let a graphic cover Temidayo while she says one.</w:t>
      </w:r>
    </w:p>
    <w:p>
      <w:pPr>
        <w:spacing w:before="0" w:after="64" w:line="264" w:lineRule="auto"/>
        <w:keepLines w:val="1"/>
      </w:pPr>
      <w:r>
        <w:rPr>
          <w:b w:val="0"/>
          <w:i w:val="0"/>
          <w:sz w:val="22"/>
        </w:rPr>
        <w:t>Do not reintroduce detached phrasing — “some people”, “professionals often”, “people may”, “a person should”, “employees often”, “workers may”, “many professionals” — anywhere in the edit, the captions or the on-screen text.</w:t>
      </w:r>
    </w:p>
    <w:p>
      <w:pPr>
        <w:spacing w:before="112" w:after="64" w:line="264" w:lineRule="auto"/>
        <w:keepLines w:val="1"/>
        <w:keepNext w:val="1"/>
      </w:pPr>
      <w:r>
        <w:rPr>
          <w:b/>
          <w:i w:val="0"/>
          <w:color w:val="0F2346"/>
          <w:sz w:val="28"/>
        </w:rPr>
        <w:t>3.  First 30 seconds — H.I.T. map</w:t>
      </w:r>
    </w:p>
    <w:p>
      <w:pPr>
        <w:spacing w:before="0" w:after="64" w:line="264" w:lineRule="auto"/>
      </w:pPr>
      <w:r>
        <w:rPr>
          <w:b w:val="0"/>
          <w:i w:val="0"/>
          <w:sz w:val="22"/>
        </w:rPr>
        <w:t>H = Hook. I = Interest. T = Trust. The opening must work as one audiovisual unit: immediate conversational hook, meaningful visual interest, relevant lived proof and a clear payoff by 30 seconds. No title card before the promise.</w:t>
      </w:r>
    </w:p>
    <w:p>
      <w:pPr>
        <w:spacing w:before="0" w:after="80" w:line="264" w:lineRule="auto"/>
        <w:shd w:val="clear" w:fill="F3F0E8"/>
        <w:keepLines w:val="1"/>
      </w:pPr>
      <w:r>
        <w:rPr>
          <w:b/>
          <w:i w:val="0"/>
          <w:color w:val="9B2C10"/>
          <w:sz w:val="22"/>
        </w:rPr>
        <w:t>This supersedes the older Video 2 opening and any earlier instruction that kept Temidayo visually static or fully off-camera in the first 30 seconds.</w:t>
      </w:r>
    </w:p>
    <w:p>
      <w:pPr>
        <w:spacing w:before="80" w:after="40" w:line="264" w:lineRule="auto"/>
        <w:keepLines w:val="1"/>
        <w:keepNext w:val="1"/>
      </w:pPr>
      <w:r>
        <w:rPr>
          <w:b/>
          <w:i w:val="0"/>
          <w:color w:val="0F2346"/>
          <w:sz w:val="23"/>
        </w:rPr>
        <w:t>0:00–0:08</w:t>
      </w:r>
    </w:p>
    <w:p>
      <w:pPr>
        <w:spacing w:before="0" w:after="64" w:line="264" w:lineRule="auto"/>
        <w:shd w:val="clear" w:fill="F3F0E8"/>
      </w:pPr>
      <w:r>
        <w:rPr>
          <w:b w:val="0"/>
          <w:i/>
          <w:color w:val="5A6B82"/>
          <w:sz w:val="21"/>
        </w:rPr>
        <w:t>Spoken anchor:  “You can be doing very well at work and still be narrowing your next options.”</w:t>
      </w:r>
    </w:p>
    <w:p>
      <w:pPr>
        <w:spacing w:before="0" w:after="48" w:line="264" w:lineRule="auto"/>
        <w:keepLines w:val="1"/>
      </w:pPr>
      <w:r>
        <w:rPr>
          <w:b/>
          <w:i w:val="0"/>
          <w:color w:val="8A6D1E"/>
          <w:sz w:val="22"/>
        </w:rPr>
        <w:t>H = HOOK</w:t>
      </w:r>
    </w:p>
    <w:p>
      <w:pPr>
        <w:spacing w:before="0" w:after="40" w:line="264" w:lineRule="auto"/>
        <w:keepLines w:val="1"/>
      </w:pPr>
      <w:r>
        <w:rPr>
          <w:b w:val="0"/>
          <w:i w:val="0"/>
          <w:sz w:val="22"/>
        </w:rPr>
        <w:t>Visual: begin on Temidayo, medium or tight, direct to camera.</w:t>
      </w:r>
    </w:p>
    <w:p>
      <w:pPr>
        <w:spacing w:before="0" w:after="40" w:line="264" w:lineRule="auto"/>
        <w:keepLines w:val="1"/>
      </w:pPr>
      <w:r>
        <w:rPr>
          <w:b w:val="0"/>
          <w:i w:val="0"/>
          <w:sz w:val="22"/>
        </w:rPr>
        <w:t>On-screen text:  DOING WELL. FEWER OPTIONS?</w:t>
      </w:r>
    </w:p>
    <w:p>
      <w:pPr>
        <w:spacing w:before="0" w:after="40" w:line="264" w:lineRule="auto"/>
        <w:keepLines w:val="1"/>
      </w:pPr>
      <w:r>
        <w:rPr>
          <w:b w:val="0"/>
          <w:i w:val="0"/>
          <w:sz w:val="22"/>
        </w:rPr>
        <w:t>Do not use a title card before this.</w:t>
      </w:r>
    </w:p>
    <w:p>
      <w:pPr>
        <w:spacing w:before="0" w:after="40" w:line="264" w:lineRule="auto"/>
        <w:keepLines w:val="1"/>
      </w:pPr>
      <w:r>
        <w:rPr>
          <w:b w:val="0"/>
          <w:i w:val="0"/>
          <w:sz w:val="22"/>
        </w:rPr>
        <w:t>The viewer bridge — “you may not notice it at first, because everything around you can still look like success” — lands on her face. Do not cover it.</w:t>
      </w:r>
    </w:p>
    <w:p>
      <w:pPr>
        <w:spacing w:before="80" w:after="40" w:line="264" w:lineRule="auto"/>
        <w:keepLines w:val="1"/>
        <w:keepNext w:val="1"/>
      </w:pPr>
      <w:r>
        <w:rPr>
          <w:b/>
          <w:i w:val="0"/>
          <w:color w:val="0F2346"/>
          <w:sz w:val="23"/>
        </w:rPr>
        <w:t>0:08–0:16</w:t>
      </w:r>
    </w:p>
    <w:p>
      <w:pPr>
        <w:spacing w:before="0" w:after="64" w:line="264" w:lineRule="auto"/>
        <w:shd w:val="clear" w:fill="F3F0E8"/>
      </w:pPr>
      <w:r>
        <w:rPr>
          <w:b w:val="0"/>
          <w:i/>
          <w:color w:val="5A6B82"/>
          <w:sz w:val="21"/>
        </w:rPr>
        <w:t>Spoken anchor:  “My own career has crossed very different functions and industries…”</w:t>
      </w:r>
    </w:p>
    <w:p>
      <w:pPr>
        <w:spacing w:before="0" w:after="48" w:line="264" w:lineRule="auto"/>
        <w:keepLines w:val="1"/>
      </w:pPr>
      <w:r>
        <w:rPr>
          <w:b/>
          <w:i w:val="0"/>
          <w:color w:val="8A6D1E"/>
          <w:sz w:val="22"/>
        </w:rPr>
        <w:t>T = TRUST   ·   I = INTEREST</w:t>
      </w:r>
    </w:p>
    <w:p>
      <w:pPr>
        <w:spacing w:before="0" w:after="40" w:line="264" w:lineRule="auto"/>
        <w:keepLines w:val="1"/>
      </w:pPr>
      <w:r>
        <w:rPr>
          <w:b w:val="0"/>
          <w:i w:val="0"/>
          <w:sz w:val="22"/>
        </w:rPr>
        <w:t>Show a restrained visual proof of the career path. Short labels only:</w:t>
      </w:r>
    </w:p>
    <w:p>
      <w:pPr>
        <w:spacing w:before="0" w:after="40" w:line="264" w:lineRule="auto"/>
        <w:keepLines w:val="1"/>
      </w:pPr>
      <w:r>
        <w:rPr>
          <w:b w:val="0"/>
          <w:i w:val="0"/>
          <w:sz w:val="22"/>
        </w:rPr>
        <w:t>ACCOUNTING &amp; AUDIT  →  CYBER / PRIVACY  →  PEOPLE / EMPLOYEE EXPERIENCE  →  TRANSFORMATION</w:t>
      </w:r>
    </w:p>
    <w:p>
      <w:pPr>
        <w:spacing w:before="0" w:after="40" w:line="264" w:lineRule="auto"/>
        <w:keepLines w:val="1"/>
      </w:pPr>
      <w:r>
        <w:rPr>
          <w:b w:val="0"/>
          <w:i w:val="0"/>
          <w:sz w:val="22"/>
        </w:rPr>
        <w:t>IMPORTANT: Temidayo deliberately does NOT recite these chapters aloud. The visual carries the chronology; her voice carries the meaning.</w:t>
      </w:r>
    </w:p>
    <w:p>
      <w:pPr>
        <w:spacing w:before="0" w:after="40" w:line="264" w:lineRule="auto"/>
        <w:keepLines w:val="1"/>
      </w:pPr>
      <w:r>
        <w:rPr>
          <w:b w:val="0"/>
          <w:i w:val="0"/>
          <w:sz w:val="22"/>
        </w:rPr>
        <w:t>Do not change the PowerPoint deck to accomplish this. Use a simple editorial overlay or approved visual treatment.</w:t>
      </w:r>
    </w:p>
    <w:p>
      <w:pPr>
        <w:spacing w:before="80" w:after="40" w:line="264" w:lineRule="auto"/>
        <w:keepLines w:val="1"/>
        <w:keepNext w:val="1"/>
      </w:pPr>
      <w:r>
        <w:rPr>
          <w:b/>
          <w:i w:val="0"/>
          <w:color w:val="0F2346"/>
          <w:sz w:val="23"/>
        </w:rPr>
        <w:t>0:16–0:24</w:t>
      </w:r>
    </w:p>
    <w:p>
      <w:pPr>
        <w:spacing w:before="0" w:after="64" w:line="264" w:lineRule="auto"/>
        <w:shd w:val="clear" w:fill="F3F0E8"/>
      </w:pPr>
      <w:r>
        <w:rPr>
          <w:b w:val="0"/>
          <w:i/>
          <w:color w:val="5A6B82"/>
          <w:sz w:val="21"/>
        </w:rPr>
        <w:t>Spoken anchor:  “Here is what became clear to me: being valuable here is not the same as being legible somewhere else.”</w:t>
      </w:r>
    </w:p>
    <w:p>
      <w:pPr>
        <w:spacing w:before="0" w:after="40" w:line="264" w:lineRule="auto"/>
        <w:keepLines w:val="1"/>
      </w:pPr>
      <w:r>
        <w:rPr>
          <w:b w:val="0"/>
          <w:i w:val="0"/>
          <w:sz w:val="22"/>
        </w:rPr>
        <w:t>Bring forward:  VALUABLE HERE  vs.  LEGIBLE ELSEWHERE</w:t>
      </w:r>
    </w:p>
    <w:p>
      <w:pPr>
        <w:spacing w:before="0" w:after="40" w:line="264" w:lineRule="auto"/>
        <w:keepLines w:val="1"/>
      </w:pPr>
      <w:r>
        <w:rPr>
          <w:b w:val="0"/>
          <w:i w:val="0"/>
          <w:sz w:val="22"/>
        </w:rPr>
        <w:t>This should visually establish the central idea of the video.</w:t>
      </w:r>
    </w:p>
    <w:p>
      <w:pPr>
        <w:spacing w:before="80" w:after="40" w:line="264" w:lineRule="auto"/>
        <w:keepLines w:val="1"/>
        <w:keepNext w:val="1"/>
      </w:pPr>
      <w:r>
        <w:rPr>
          <w:b/>
          <w:i w:val="0"/>
          <w:color w:val="0F2346"/>
          <w:sz w:val="23"/>
        </w:rPr>
        <w:t>0:24–0:30</w:t>
      </w:r>
    </w:p>
    <w:p>
      <w:pPr>
        <w:spacing w:before="0" w:after="64" w:line="264" w:lineRule="auto"/>
        <w:shd w:val="clear" w:fill="F3F0E8"/>
      </w:pPr>
      <w:r>
        <w:rPr>
          <w:b w:val="0"/>
          <w:i/>
          <w:color w:val="5A6B82"/>
          <w:sz w:val="21"/>
        </w:rPr>
        <w:t>Spoken anchor:  “So let me give you three tests you can run on your own work…”</w:t>
      </w:r>
    </w:p>
    <w:p>
      <w:pPr>
        <w:spacing w:before="0" w:after="48" w:line="264" w:lineRule="auto"/>
        <w:keepLines w:val="1"/>
      </w:pPr>
      <w:r>
        <w:rPr>
          <w:b/>
          <w:i w:val="0"/>
          <w:color w:val="8A6D1E"/>
          <w:sz w:val="22"/>
        </w:rPr>
        <w:t>PAYOFF</w:t>
      </w:r>
    </w:p>
    <w:p>
      <w:pPr>
        <w:spacing w:before="0" w:after="40" w:line="264" w:lineRule="auto"/>
        <w:keepLines w:val="1"/>
      </w:pPr>
      <w:r>
        <w:rPr>
          <w:b w:val="0"/>
          <w:i w:val="0"/>
          <w:sz w:val="22"/>
        </w:rPr>
        <w:t>Return cleanly to Temidayo.</w:t>
      </w:r>
    </w:p>
    <w:p>
      <w:pPr>
        <w:spacing w:before="0" w:after="40" w:line="264" w:lineRule="auto"/>
        <w:keepLines w:val="1"/>
      </w:pPr>
      <w:r>
        <w:rPr>
          <w:b w:val="0"/>
          <w:i w:val="0"/>
          <w:sz w:val="22"/>
        </w:rPr>
        <w:t>Optional small text: 3 MARKETABILITY TESTS</w:t>
      </w:r>
    </w:p>
    <w:p>
      <w:pPr>
        <w:spacing w:before="0" w:after="40" w:line="264" w:lineRule="auto"/>
        <w:keepLines w:val="1"/>
      </w:pPr>
      <w:r>
        <w:rPr>
          <w:b w:val="0"/>
          <w:i w:val="0"/>
          <w:sz w:val="22"/>
        </w:rPr>
        <w:t>The viewer should understand the payoff before the teaching begins.</w:t>
      </w:r>
    </w:p>
    <w:p>
      <w:pPr>
        <w:spacing w:before="96" w:after="40" w:line="264" w:lineRule="auto"/>
        <w:keepLines w:val="1"/>
        <w:keepNext w:val="1"/>
      </w:pPr>
      <w:r>
        <w:rPr>
          <w:b/>
          <w:i w:val="0"/>
          <w:color w:val="0F2346"/>
          <w:sz w:val="23"/>
        </w:rPr>
        <w:t>First-30-second audit table</w:t>
      </w:r>
    </w:p>
    <w:p>
      <w:pPr>
        <w:spacing w:before="0" w:after="64" w:line="264" w:lineRule="auto"/>
        <w:keepLines w:val="1"/>
      </w:pPr>
      <w:r>
        <w:rPr>
          <w:b w:val="0"/>
          <w:i/>
          <w:color w:val="5A6B82"/>
          <w:sz w:val="21"/>
        </w:rPr>
        <w:t>Audited against the v4.0 standard. The existing opening passed on title and thumbnail match, one-breath first sentence, recognition, visual interest, trust and payoff inside 30 seconds; only the voice register was revised, so the beats below are the current final ones.</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0:00–0:08</w:t>
            </w:r>
          </w:p>
        </w:tc>
        <w:tc>
          <w:tcPr>
            <w:tcW w:type="dxa" w:w="2333"/>
          </w:tcPr>
          <w:p>
            <w:pPr>
              <w:spacing w:after="40" w:line="252" w:lineRule="auto"/>
            </w:pPr>
            <w:r/>
            <w:r>
              <w:rPr>
                <w:sz w:val="16"/>
              </w:rPr>
              <w:t>“You can be doing very well at work and still be narrowing your next options.”</w:t>
            </w:r>
          </w:p>
        </w:tc>
        <w:tc>
          <w:tcPr>
            <w:tcW w:type="dxa" w:w="1325"/>
          </w:tcPr>
          <w:p>
            <w:pPr>
              <w:spacing w:after="40" w:line="252" w:lineRule="auto"/>
            </w:pPr>
            <w:r/>
            <w:r>
              <w:rPr>
                <w:sz w:val="16"/>
              </w:rPr>
              <w:t>Surprising but defensible statement; a consequence the viewer may already be living.</w:t>
            </w:r>
          </w:p>
        </w:tc>
        <w:tc>
          <w:tcPr>
            <w:tcW w:type="dxa" w:w="1512"/>
          </w:tcPr>
          <w:p>
            <w:pPr>
              <w:spacing w:after="40" w:line="252" w:lineRule="auto"/>
            </w:pPr>
            <w:r/>
            <w:r>
              <w:rPr>
                <w:sz w:val="16"/>
              </w:rPr>
              <w:t>DOING WELL. FEWER OPTIONS?</w:t>
            </w:r>
          </w:p>
        </w:tc>
        <w:tc>
          <w:tcPr>
            <w:tcW w:type="dxa" w:w="1584"/>
          </w:tcPr>
          <w:p>
            <w:pPr>
              <w:spacing w:after="40" w:line="252" w:lineRule="auto"/>
            </w:pPr>
            <w:r/>
            <w:r>
              <w:rPr>
                <w:sz w:val="16"/>
              </w:rPr>
              <w:t>Open on Temidayo, medium or tight, direct to camera. No title card.</w:t>
            </w:r>
          </w:p>
        </w:tc>
        <w:tc>
          <w:tcPr>
            <w:tcW w:type="dxa" w:w="1325"/>
          </w:tcPr>
          <w:p>
            <w:pPr>
              <w:spacing w:after="40" w:line="252" w:lineRule="auto"/>
            </w:pPr>
            <w:r/>
            <w:r>
              <w:rPr>
                <w:sz w:val="16"/>
              </w:rPr>
              <w:t>Named immediately as her own observation, not a statistic.</w:t>
            </w:r>
          </w:p>
        </w:tc>
        <w:tc>
          <w:tcPr>
            <w:tcW w:type="dxa" w:w="1397"/>
          </w:tcPr>
          <w:p>
            <w:pPr>
              <w:spacing w:after="40" w:line="252" w:lineRule="auto"/>
            </w:pPr>
            <w:r/>
            <w:r>
              <w:rPr>
                <w:sz w:val="16"/>
              </w:rPr>
              <w:t>The viewer hears that success and marketability are not the same question.</w:t>
            </w:r>
          </w:p>
        </w:tc>
      </w:tr>
      <w:tr>
        <w:tc>
          <w:tcPr>
            <w:tcW w:type="dxa" w:w="749"/>
          </w:tcPr>
          <w:p>
            <w:pPr>
              <w:spacing w:after="40" w:line="252" w:lineRule="auto"/>
            </w:pPr>
            <w:r/>
            <w:r>
              <w:rPr>
                <w:sz w:val="16"/>
              </w:rPr>
              <w:t>0:08–0:16</w:t>
            </w:r>
          </w:p>
        </w:tc>
        <w:tc>
          <w:tcPr>
            <w:tcW w:type="dxa" w:w="2333"/>
          </w:tcPr>
          <w:p>
            <w:pPr>
              <w:spacing w:after="40" w:line="252" w:lineRule="auto"/>
            </w:pPr>
            <w:r/>
            <w:r>
              <w:rPr>
                <w:sz w:val="16"/>
              </w:rPr>
              <w:t>“My own career has crossed very different functions and industries…”</w:t>
            </w:r>
          </w:p>
        </w:tc>
        <w:tc>
          <w:tcPr>
            <w:tcW w:type="dxa" w:w="1325"/>
          </w:tcPr>
          <w:p>
            <w:pPr>
              <w:spacing w:after="40" w:line="252" w:lineRule="auto"/>
            </w:pPr>
            <w:r/>
            <w:r>
              <w:rPr>
                <w:sz w:val="16"/>
              </w:rPr>
              <w:t>Personal-story turn that earns the diagnosis.</w:t>
            </w:r>
          </w:p>
        </w:tc>
        <w:tc>
          <w:tcPr>
            <w:tcW w:type="dxa" w:w="1512"/>
          </w:tcPr>
          <w:p>
            <w:pPr>
              <w:spacing w:after="40" w:line="252" w:lineRule="auto"/>
            </w:pPr>
            <w:r/>
            <w:r>
              <w:rPr>
                <w:sz w:val="16"/>
              </w:rPr>
              <w:t>ACCOUNTING &amp; AUDIT → CYBER / PRIVACY → PEOPLE → TRANSFORMATION</w:t>
            </w:r>
          </w:p>
        </w:tc>
        <w:tc>
          <w:tcPr>
            <w:tcW w:type="dxa" w:w="1584"/>
          </w:tcPr>
          <w:p>
            <w:pPr>
              <w:spacing w:after="40" w:line="252" w:lineRule="auto"/>
            </w:pPr>
            <w:r/>
            <w:r>
              <w:rPr>
                <w:sz w:val="16"/>
              </w:rPr>
              <w:t>Restrained career-sequence overlay. Not spoken aloud.</w:t>
            </w:r>
          </w:p>
        </w:tc>
        <w:tc>
          <w:tcPr>
            <w:tcW w:type="dxa" w:w="1325"/>
          </w:tcPr>
          <w:p>
            <w:pPr>
              <w:spacing w:after="40" w:line="252" w:lineRule="auto"/>
            </w:pPr>
            <w:r/>
            <w:r>
              <w:rPr>
                <w:sz w:val="16"/>
              </w:rPr>
              <w:t>Lived cross-industry evidence; she had to learn what travels.</w:t>
            </w:r>
          </w:p>
        </w:tc>
        <w:tc>
          <w:tcPr>
            <w:tcW w:type="dxa" w:w="1397"/>
          </w:tcPr>
          <w:p>
            <w:pPr>
              <w:spacing w:after="40" w:line="252" w:lineRule="auto"/>
            </w:pPr>
            <w:r/>
            <w:r>
              <w:rPr>
                <w:sz w:val="16"/>
              </w:rPr>
              <w:t>The viewer sees why she can read this problem.</w:t>
            </w:r>
          </w:p>
        </w:tc>
      </w:tr>
      <w:tr>
        <w:tc>
          <w:tcPr>
            <w:tcW w:type="dxa" w:w="749"/>
          </w:tcPr>
          <w:p>
            <w:pPr>
              <w:spacing w:after="40" w:line="252" w:lineRule="auto"/>
            </w:pPr>
            <w:r/>
            <w:r>
              <w:rPr>
                <w:sz w:val="16"/>
              </w:rPr>
              <w:t>0:16–0:24</w:t>
            </w:r>
          </w:p>
        </w:tc>
        <w:tc>
          <w:tcPr>
            <w:tcW w:type="dxa" w:w="2333"/>
          </w:tcPr>
          <w:p>
            <w:pPr>
              <w:spacing w:after="40" w:line="252" w:lineRule="auto"/>
            </w:pPr>
            <w:r/>
            <w:r>
              <w:rPr>
                <w:sz w:val="16"/>
              </w:rPr>
              <w:t>“Here is what became clear to me: being valuable here is not the same as being legible somewhere else.”</w:t>
            </w:r>
          </w:p>
        </w:tc>
        <w:tc>
          <w:tcPr>
            <w:tcW w:type="dxa" w:w="1325"/>
          </w:tcPr>
          <w:p>
            <w:pPr>
              <w:spacing w:after="40" w:line="252" w:lineRule="auto"/>
            </w:pPr>
            <w:r/>
            <w:r>
              <w:rPr>
                <w:sz w:val="16"/>
              </w:rPr>
              <w:t>The specific contradiction the whole video runs on.</w:t>
            </w:r>
          </w:p>
        </w:tc>
        <w:tc>
          <w:tcPr>
            <w:tcW w:type="dxa" w:w="1512"/>
          </w:tcPr>
          <w:p>
            <w:pPr>
              <w:spacing w:after="40" w:line="252" w:lineRule="auto"/>
            </w:pPr>
            <w:r/>
            <w:r>
              <w:rPr>
                <w:sz w:val="16"/>
              </w:rPr>
              <w:t>VALUABLE HERE  vs.  LEGIBLE ELSEWHERE</w:t>
            </w:r>
          </w:p>
        </w:tc>
        <w:tc>
          <w:tcPr>
            <w:tcW w:type="dxa" w:w="1584"/>
          </w:tcPr>
          <w:p>
            <w:pPr>
              <w:spacing w:after="40" w:line="252" w:lineRule="auto"/>
            </w:pPr>
            <w:r/>
            <w:r>
              <w:rPr>
                <w:sz w:val="16"/>
              </w:rPr>
              <w:t>Bring the central contrast forward and hold it.</w:t>
            </w:r>
          </w:p>
        </w:tc>
        <w:tc>
          <w:tcPr>
            <w:tcW w:type="dxa" w:w="1325"/>
          </w:tcPr>
          <w:p>
            <w:pPr>
              <w:spacing w:after="40" w:line="252" w:lineRule="auto"/>
            </w:pPr>
            <w:r/>
            <w:r>
              <w:rPr>
                <w:sz w:val="16"/>
              </w:rPr>
              <w:t>Framed as what she came to understand, not as advice.</w:t>
            </w:r>
          </w:p>
        </w:tc>
        <w:tc>
          <w:tcPr>
            <w:tcW w:type="dxa" w:w="1397"/>
          </w:tcPr>
          <w:p>
            <w:pPr>
              <w:spacing w:after="40" w:line="252" w:lineRule="auto"/>
            </w:pPr>
            <w:r/>
            <w:r>
              <w:rPr>
                <w:sz w:val="16"/>
              </w:rPr>
              <w:t>The core distinction is stated before any teaching begins.</w:t>
            </w:r>
          </w:p>
        </w:tc>
      </w:tr>
      <w:tr>
        <w:tc>
          <w:tcPr>
            <w:tcW w:type="dxa" w:w="749"/>
          </w:tcPr>
          <w:p>
            <w:pPr>
              <w:spacing w:after="40" w:line="252" w:lineRule="auto"/>
            </w:pPr>
            <w:r/>
            <w:r>
              <w:rPr>
                <w:sz w:val="16"/>
              </w:rPr>
              <w:t>0:24–0:30</w:t>
            </w:r>
          </w:p>
        </w:tc>
        <w:tc>
          <w:tcPr>
            <w:tcW w:type="dxa" w:w="2333"/>
          </w:tcPr>
          <w:p>
            <w:pPr>
              <w:spacing w:after="40" w:line="252" w:lineRule="auto"/>
            </w:pPr>
            <w:r/>
            <w:r>
              <w:rPr>
                <w:sz w:val="16"/>
              </w:rPr>
              <w:t>“So let me give you three tests you can run on your own work…”</w:t>
            </w:r>
          </w:p>
        </w:tc>
        <w:tc>
          <w:tcPr>
            <w:tcW w:type="dxa" w:w="1325"/>
          </w:tcPr>
          <w:p>
            <w:pPr>
              <w:spacing w:after="40" w:line="252" w:lineRule="auto"/>
            </w:pPr>
            <w:r/>
            <w:r>
              <w:rPr>
                <w:sz w:val="16"/>
              </w:rPr>
              <w:t>Direct offer of the method.</w:t>
            </w:r>
          </w:p>
        </w:tc>
        <w:tc>
          <w:tcPr>
            <w:tcW w:type="dxa" w:w="1512"/>
          </w:tcPr>
          <w:p>
            <w:pPr>
              <w:spacing w:after="40" w:line="252" w:lineRule="auto"/>
            </w:pPr>
            <w:r/>
            <w:r>
              <w:rPr>
                <w:sz w:val="16"/>
              </w:rPr>
              <w:t>3 MARKETABILITY TESTS</w:t>
            </w:r>
          </w:p>
        </w:tc>
        <w:tc>
          <w:tcPr>
            <w:tcW w:type="dxa" w:w="1584"/>
          </w:tcPr>
          <w:p>
            <w:pPr>
              <w:spacing w:after="40" w:line="252" w:lineRule="auto"/>
            </w:pPr>
            <w:r/>
            <w:r>
              <w:rPr>
                <w:sz w:val="16"/>
              </w:rPr>
              <w:t>Return cleanly to Temidayo.</w:t>
            </w:r>
          </w:p>
        </w:tc>
        <w:tc>
          <w:tcPr>
            <w:tcW w:type="dxa" w:w="1325"/>
          </w:tcPr>
          <w:p>
            <w:pPr>
              <w:spacing w:after="40" w:line="252" w:lineRule="auto"/>
            </w:pPr>
            <w:r/>
            <w:r>
              <w:rPr>
                <w:sz w:val="16"/>
              </w:rPr>
              <w:t>The tests are hers, drawn from the same career evidence.</w:t>
            </w:r>
          </w:p>
        </w:tc>
        <w:tc>
          <w:tcPr>
            <w:tcW w:type="dxa" w:w="1397"/>
          </w:tcPr>
          <w:p>
            <w:pPr>
              <w:spacing w:after="40" w:line="252" w:lineRule="auto"/>
            </w:pPr>
            <w:r/>
            <w:r>
              <w:rPr>
                <w:sz w:val="16"/>
              </w:rPr>
              <w:t>Payoff is explicit before 30 seconds.</w:t>
            </w:r>
          </w:p>
        </w:tc>
      </w:tr>
    </w:tbl>
    <w:p>
      <w:pPr>
        <w:spacing w:before="80" w:after="40" w:line="264" w:lineRule="auto"/>
        <w:keepLines w:val="1"/>
      </w:pPr>
      <w:r>
        <w:rPr>
          <w:b/>
          <w:i w:val="0"/>
          <w:color w:val="0F2346"/>
          <w:sz w:val="21"/>
        </w:rPr>
        <w:t>Hook layers for the long-form:</w:t>
      </w:r>
    </w:p>
    <w:p>
      <w:pPr>
        <w:spacing w:before="0" w:after="32" w:line="264" w:lineRule="auto"/>
        <w:keepLines w:val="1"/>
      </w:pPr>
      <w:r>
        <w:rPr>
          <w:b w:val="0"/>
          <w:i w:val="0"/>
          <w:sz w:val="21"/>
        </w:rPr>
        <w:t>Verbal hook:       You can be doing very well at work and still be narrowing your next options.</w:t>
      </w:r>
    </w:p>
    <w:p>
      <w:pPr>
        <w:spacing w:before="0" w:after="32" w:line="264" w:lineRule="auto"/>
        <w:keepLines w:val="1"/>
      </w:pPr>
      <w:r>
        <w:rPr>
          <w:b w:val="0"/>
          <w:i w:val="0"/>
          <w:sz w:val="21"/>
        </w:rPr>
        <w:t>On-screen hook:    DOING WELL. FEWER OPTIONS?</w:t>
      </w:r>
    </w:p>
    <w:p>
      <w:pPr>
        <w:spacing w:before="0" w:after="32" w:line="264" w:lineRule="auto"/>
        <w:keepLines w:val="1"/>
      </w:pPr>
      <w:r>
        <w:rPr>
          <w:b w:val="0"/>
          <w:i w:val="0"/>
          <w:sz w:val="21"/>
        </w:rPr>
        <w:t>Visual / editor:   Direct to camera, then the restrained career-sequence overlay.</w:t>
      </w:r>
    </w:p>
    <w:p>
      <w:pPr>
        <w:spacing w:before="0" w:after="32" w:line="264" w:lineRule="auto"/>
        <w:keepLines w:val="1"/>
      </w:pPr>
      <w:r>
        <w:rPr>
          <w:b w:val="0"/>
          <w:i w:val="0"/>
          <w:sz w:val="21"/>
        </w:rPr>
        <w:t>Trust beat:        Temidayo's own cross-function, cross-industry career.</w:t>
      </w:r>
    </w:p>
    <w:p>
      <w:pPr>
        <w:spacing w:before="0" w:after="32" w:line="264" w:lineRule="auto"/>
        <w:keepLines w:val="1"/>
      </w:pPr>
      <w:r>
        <w:rPr>
          <w:b w:val="0"/>
          <w:i w:val="0"/>
          <w:sz w:val="21"/>
        </w:rPr>
        <w:t>Viewer payoff:     Three tests the viewer can run on their own work, promised by 0:30.</w:t>
      </w:r>
    </w:p>
    <w:p>
      <w:pPr>
        <w:spacing w:before="112" w:after="64" w:line="264" w:lineRule="auto"/>
        <w:keepLines w:val="1"/>
        <w:keepNext w:val="1"/>
      </w:pPr>
      <w:r>
        <w:rPr>
          <w:b/>
          <w:i w:val="0"/>
          <w:color w:val="0F2346"/>
          <w:sz w:val="28"/>
        </w:rPr>
        <w:t>4.  Slide marker → actual slide number</w:t>
      </w:r>
    </w:p>
    <w:p>
      <w:pPr>
        <w:spacing w:before="0" w:after="64" w:line="264" w:lineRule="auto"/>
      </w:pPr>
      <w:r>
        <w:rPr>
          <w:b w:val="0"/>
          <w:i w:val="0"/>
          <w:sz w:val="22"/>
        </w:rPr>
        <w:t>The teleprompter carries thirteen slide markers. They map to the existing thirteen-slide deck in order, marker 1 to slide 1 through marker 13 to slide 13. Do not add, delete, redesign or reorder slides.</w:t>
      </w:r>
    </w:p>
    <w:p>
      <w:pPr>
        <w:spacing w:before="0" w:after="24" w:line="264" w:lineRule="auto"/>
        <w:keepLines w:val="1"/>
      </w:pPr>
      <w:r>
        <w:rPr>
          <w:b w:val="0"/>
          <w:i w:val="0"/>
          <w:sz w:val="21"/>
        </w:rPr>
        <w:t>Marker 1   →  Slide 1   Title</w:t>
      </w:r>
    </w:p>
    <w:p>
      <w:pPr>
        <w:spacing w:before="0" w:after="24" w:line="264" w:lineRule="auto"/>
        <w:keepLines w:val="1"/>
      </w:pPr>
      <w:r>
        <w:rPr>
          <w:b w:val="0"/>
          <w:i w:val="0"/>
          <w:sz w:val="21"/>
        </w:rPr>
        <w:t>Marker 2   →  Slide 2   Valuable Here / Legible Elsewhere</w:t>
      </w:r>
    </w:p>
    <w:p>
      <w:pPr>
        <w:spacing w:before="0" w:after="24" w:line="264" w:lineRule="auto"/>
        <w:keepLines w:val="1"/>
      </w:pPr>
      <w:r>
        <w:rPr>
          <w:b w:val="0"/>
          <w:i w:val="0"/>
          <w:sz w:val="21"/>
        </w:rPr>
        <w:t>Marker 3   →  Slide 3   01 Remove the Company Nouns</w:t>
      </w:r>
    </w:p>
    <w:p>
      <w:pPr>
        <w:spacing w:before="0" w:after="24" w:line="264" w:lineRule="auto"/>
        <w:keepLines w:val="1"/>
      </w:pPr>
      <w:r>
        <w:rPr>
          <w:b w:val="0"/>
          <w:i w:val="0"/>
          <w:sz w:val="21"/>
        </w:rPr>
        <w:t>Marker 4   →  Slide 4   Test One</w:t>
      </w:r>
    </w:p>
    <w:p>
      <w:pPr>
        <w:spacing w:before="0" w:after="24" w:line="264" w:lineRule="auto"/>
        <w:keepLines w:val="1"/>
      </w:pPr>
      <w:r>
        <w:rPr>
          <w:b w:val="0"/>
          <w:i w:val="0"/>
          <w:sz w:val="21"/>
        </w:rPr>
        <w:t>Marker 5   →  Slide 5   02 Find Outside-Context Evidence</w:t>
      </w:r>
    </w:p>
    <w:p>
      <w:pPr>
        <w:spacing w:before="0" w:after="24" w:line="264" w:lineRule="auto"/>
        <w:keepLines w:val="1"/>
      </w:pPr>
      <w:r>
        <w:rPr>
          <w:b w:val="0"/>
          <w:i w:val="0"/>
          <w:sz w:val="21"/>
        </w:rPr>
        <w:t>Marker 6   →  Slide 6   Test Two</w:t>
      </w:r>
    </w:p>
    <w:p>
      <w:pPr>
        <w:spacing w:before="0" w:after="24" w:line="264" w:lineRule="auto"/>
        <w:keepLines w:val="1"/>
      </w:pPr>
      <w:r>
        <w:rPr>
          <w:b w:val="0"/>
          <w:i w:val="0"/>
          <w:sz w:val="21"/>
        </w:rPr>
        <w:t>Marker 7   →  Slide 7   03 Read the Last 90 Days</w:t>
      </w:r>
    </w:p>
    <w:p>
      <w:pPr>
        <w:spacing w:before="0" w:after="24" w:line="264" w:lineRule="auto"/>
        <w:keepLines w:val="1"/>
      </w:pPr>
      <w:r>
        <w:rPr>
          <w:b w:val="0"/>
          <w:i w:val="0"/>
          <w:sz w:val="21"/>
        </w:rPr>
        <w:t>Marker 8   →  Slide 8   Test Three</w:t>
      </w:r>
    </w:p>
    <w:p>
      <w:pPr>
        <w:spacing w:before="0" w:after="24" w:line="264" w:lineRule="auto"/>
        <w:keepLines w:val="1"/>
      </w:pPr>
      <w:r>
        <w:rPr>
          <w:b w:val="0"/>
          <w:i w:val="0"/>
          <w:sz w:val="21"/>
        </w:rPr>
        <w:t>Marker 9   →  Slide 9   The Three Tests</w:t>
      </w:r>
    </w:p>
    <w:p>
      <w:pPr>
        <w:spacing w:before="0" w:after="24" w:line="264" w:lineRule="auto"/>
        <w:keepLines w:val="1"/>
      </w:pPr>
      <w:r>
        <w:rPr>
          <w:b w:val="0"/>
          <w:i w:val="0"/>
          <w:sz w:val="21"/>
        </w:rPr>
        <w:t>Marker 10  →  Slide 10  Read the Pattern</w:t>
      </w:r>
    </w:p>
    <w:p>
      <w:pPr>
        <w:spacing w:before="0" w:after="24" w:line="264" w:lineRule="auto"/>
        <w:keepLines w:val="1"/>
      </w:pPr>
      <w:r>
        <w:rPr>
          <w:b w:val="0"/>
          <w:i w:val="0"/>
          <w:sz w:val="21"/>
        </w:rPr>
        <w:t>Marker 11  →  Slide 11  Before You Leave</w:t>
      </w:r>
    </w:p>
    <w:p>
      <w:pPr>
        <w:spacing w:before="0" w:after="24" w:line="264" w:lineRule="auto"/>
        <w:keepLines w:val="1"/>
      </w:pPr>
      <w:r>
        <w:rPr>
          <w:b w:val="0"/>
          <w:i w:val="0"/>
          <w:sz w:val="21"/>
        </w:rPr>
        <w:t>Marker 12  →  Slide 12  Capability Formation Field Kit</w:t>
      </w:r>
    </w:p>
    <w:p>
      <w:pPr>
        <w:spacing w:before="0" w:after="24" w:line="264" w:lineRule="auto"/>
        <w:keepLines w:val="1"/>
      </w:pPr>
      <w:r>
        <w:rPr>
          <w:b w:val="0"/>
          <w:i w:val="0"/>
          <w:sz w:val="21"/>
        </w:rPr>
        <w:t>Marker 13  →  Slide 13  Watch Next</w:t>
      </w:r>
    </w:p>
    <w:p>
      <w:pPr>
        <w:spacing w:before="112" w:after="64" w:line="264" w:lineRule="auto"/>
        <w:keepLines w:val="1"/>
        <w:keepNext w:val="1"/>
      </w:pPr>
      <w:r>
        <w:rPr>
          <w:b/>
          <w:i w:val="0"/>
          <w:color w:val="0F2346"/>
          <w:sz w:val="28"/>
        </w:rPr>
        <w:t>5.  Existing reveal-frame map</w:t>
      </w:r>
    </w:p>
    <w:p>
      <w:pPr>
        <w:spacing w:before="0" w:after="64" w:line="264" w:lineRule="auto"/>
      </w:pPr>
      <w:r>
        <w:rPr>
          <w:b w:val="0"/>
          <w:i w:val="0"/>
          <w:sz w:val="22"/>
        </w:rPr>
        <w:t>The reveal-build deck contains 23 frames. This is the inspected count from the actual file. Reveal visuals are unchanged.</w:t>
      </w:r>
    </w:p>
    <w:p>
      <w:pPr>
        <w:spacing w:before="0" w:after="24" w:line="264" w:lineRule="auto"/>
        <w:keepLines w:val="1"/>
      </w:pPr>
      <w:r>
        <w:rPr>
          <w:b w:val="0"/>
          <w:i w:val="0"/>
          <w:sz w:val="21"/>
        </w:rPr>
        <w:t>Slide 1   →  reveal frames 1        (1)</w:t>
      </w:r>
    </w:p>
    <w:p>
      <w:pPr>
        <w:spacing w:before="0" w:after="24" w:line="264" w:lineRule="auto"/>
        <w:keepLines w:val="1"/>
      </w:pPr>
      <w:r>
        <w:rPr>
          <w:b w:val="0"/>
          <w:i w:val="0"/>
          <w:sz w:val="21"/>
        </w:rPr>
        <w:t>Slide 2   →  reveal frames 2        (1)</w:t>
      </w:r>
    </w:p>
    <w:p>
      <w:pPr>
        <w:spacing w:before="0" w:after="24" w:line="264" w:lineRule="auto"/>
        <w:keepLines w:val="1"/>
      </w:pPr>
      <w:r>
        <w:rPr>
          <w:b w:val="0"/>
          <w:i w:val="0"/>
          <w:sz w:val="21"/>
        </w:rPr>
        <w:t>Slide 3   →  reveal frames 3        (1)</w:t>
      </w:r>
    </w:p>
    <w:p>
      <w:pPr>
        <w:spacing w:before="0" w:after="24" w:line="264" w:lineRule="auto"/>
        <w:keepLines w:val="1"/>
      </w:pPr>
      <w:r>
        <w:rPr>
          <w:b w:val="0"/>
          <w:i w:val="0"/>
          <w:sz w:val="21"/>
        </w:rPr>
        <w:t>Slide 4   →  reveal frames 4–5      (2)</w:t>
      </w:r>
    </w:p>
    <w:p>
      <w:pPr>
        <w:spacing w:before="0" w:after="24" w:line="264" w:lineRule="auto"/>
        <w:keepLines w:val="1"/>
      </w:pPr>
      <w:r>
        <w:rPr>
          <w:b w:val="0"/>
          <w:i w:val="0"/>
          <w:sz w:val="21"/>
        </w:rPr>
        <w:t>Slide 5   →  reveal frames 6        (1)</w:t>
      </w:r>
    </w:p>
    <w:p>
      <w:pPr>
        <w:spacing w:before="0" w:after="24" w:line="264" w:lineRule="auto"/>
        <w:keepLines w:val="1"/>
      </w:pPr>
      <w:r>
        <w:rPr>
          <w:b w:val="0"/>
          <w:i w:val="0"/>
          <w:sz w:val="21"/>
        </w:rPr>
        <w:t>Slide 6   →  reveal frames 7–10     (4)</w:t>
      </w:r>
    </w:p>
    <w:p>
      <w:pPr>
        <w:spacing w:before="0" w:after="24" w:line="264" w:lineRule="auto"/>
        <w:keepLines w:val="1"/>
      </w:pPr>
      <w:r>
        <w:rPr>
          <w:b w:val="0"/>
          <w:i w:val="0"/>
          <w:sz w:val="21"/>
        </w:rPr>
        <w:t>Slide 7   →  reveal frames 11       (1)</w:t>
      </w:r>
    </w:p>
    <w:p>
      <w:pPr>
        <w:spacing w:before="0" w:after="24" w:line="264" w:lineRule="auto"/>
        <w:keepLines w:val="1"/>
      </w:pPr>
      <w:r>
        <w:rPr>
          <w:b w:val="0"/>
          <w:i w:val="0"/>
          <w:sz w:val="21"/>
        </w:rPr>
        <w:t>Slide 8   →  reveal frames 12–15    (4)</w:t>
      </w:r>
    </w:p>
    <w:p>
      <w:pPr>
        <w:spacing w:before="0" w:after="24" w:line="264" w:lineRule="auto"/>
        <w:keepLines w:val="1"/>
      </w:pPr>
      <w:r>
        <w:rPr>
          <w:b w:val="0"/>
          <w:i w:val="0"/>
          <w:sz w:val="21"/>
        </w:rPr>
        <w:t>Slide 9   →  reveal frames 16       (1)</w:t>
      </w:r>
    </w:p>
    <w:p>
      <w:pPr>
        <w:spacing w:before="0" w:after="24" w:line="264" w:lineRule="auto"/>
        <w:keepLines w:val="1"/>
      </w:pPr>
      <w:r>
        <w:rPr>
          <w:b w:val="0"/>
          <w:i w:val="0"/>
          <w:sz w:val="21"/>
        </w:rPr>
        <w:t>Slide 10  →  reveal frames 17       (1)</w:t>
      </w:r>
    </w:p>
    <w:p>
      <w:pPr>
        <w:spacing w:before="0" w:after="24" w:line="264" w:lineRule="auto"/>
        <w:keepLines w:val="1"/>
      </w:pPr>
      <w:r>
        <w:rPr>
          <w:b w:val="0"/>
          <w:i w:val="0"/>
          <w:sz w:val="21"/>
        </w:rPr>
        <w:t>Slide 11  →  reveal frames 18–21    (4)</w:t>
      </w:r>
    </w:p>
    <w:p>
      <w:pPr>
        <w:spacing w:before="0" w:after="24" w:line="264" w:lineRule="auto"/>
        <w:keepLines w:val="1"/>
      </w:pPr>
      <w:r>
        <w:rPr>
          <w:b w:val="0"/>
          <w:i w:val="0"/>
          <w:sz w:val="21"/>
        </w:rPr>
        <w:t>Slide 12  →  reveal frames 22       (1)</w:t>
      </w:r>
    </w:p>
    <w:p>
      <w:pPr>
        <w:spacing w:before="0" w:after="24" w:line="264" w:lineRule="auto"/>
        <w:keepLines w:val="1"/>
      </w:pPr>
      <w:r>
        <w:rPr>
          <w:b w:val="0"/>
          <w:i w:val="0"/>
          <w:sz w:val="21"/>
        </w:rPr>
        <w:t>Slide 13  →  reveal frames 23       (1)</w:t>
      </w:r>
    </w:p>
    <w:p>
      <w:pPr>
        <w:spacing w:before="112" w:after="64" w:line="264" w:lineRule="auto"/>
        <w:keepLines w:val="1"/>
        <w:keepNext w:val="1"/>
      </w:pPr>
      <w:r>
        <w:rPr>
          <w:b/>
          <w:i w:val="0"/>
          <w:color w:val="0F2346"/>
          <w:sz w:val="28"/>
        </w:rPr>
        <w:t>6.  Overlay principle</w:t>
      </w:r>
    </w:p>
    <w:p>
      <w:pPr>
        <w:spacing w:before="0" w:after="64" w:line="264" w:lineRule="auto"/>
      </w:pPr>
      <w:r>
        <w:rPr>
          <w:b w:val="0"/>
          <w:i w:val="0"/>
          <w:sz w:val="22"/>
        </w:rPr>
        <w:t>When a visual can prove information more efficiently than Temidayo speaking it, let the visual carry it. Do not add spoken wording to duplicate slide copy, and do not add slide copy to duplicate her.</w:t>
      </w:r>
    </w:p>
    <w:p>
      <w:pPr>
        <w:spacing w:before="112" w:after="64" w:line="264" w:lineRule="auto"/>
        <w:keepLines w:val="1"/>
        <w:keepNext w:val="1"/>
      </w:pPr>
      <w:r>
        <w:rPr>
          <w:b/>
          <w:i w:val="0"/>
          <w:color w:val="0F2346"/>
          <w:sz w:val="28"/>
        </w:rPr>
        <w:t>7.  Factual and tone boundaries</w:t>
      </w:r>
    </w:p>
    <w:p>
      <w:pPr>
        <w:spacing w:before="0" w:after="64" w:line="264" w:lineRule="auto"/>
        <w:shd w:val="clear" w:fill="F3F0E8"/>
        <w:keepLines w:val="1"/>
      </w:pPr>
      <w:r>
        <w:rPr>
          <w:b/>
          <w:i w:val="0"/>
          <w:color w:val="9B2C10"/>
          <w:sz w:val="22"/>
        </w:rPr>
        <w:t>NON-ALARMIST. This video must never imply that praise, pay or internal importance are themselves warning signs, that a strong job is automatically bad, or that the viewer should quit because their marketability may be narrowing.</w:t>
      </w:r>
    </w:p>
    <w:p>
      <w:pPr>
        <w:spacing w:before="0" w:after="24" w:line="264" w:lineRule="auto"/>
        <w:keepLines w:val="1"/>
      </w:pPr>
      <w:r>
        <w:rPr>
          <w:b w:val="0"/>
          <w:i w:val="0"/>
          <w:sz w:val="22"/>
        </w:rPr>
        <w:t>—  no invented employer, metric or result;</w:t>
      </w:r>
    </w:p>
    <w:p>
      <w:pPr>
        <w:spacing w:before="0" w:after="24" w:line="264" w:lineRule="auto"/>
        <w:keepLines w:val="1"/>
      </w:pPr>
      <w:r>
        <w:rPr>
          <w:b w:val="0"/>
          <w:i w:val="0"/>
          <w:sz w:val="22"/>
        </w:rPr>
        <w:t>—  no diagnosis from one quarter;        —  no urgency graphics;</w:t>
      </w:r>
    </w:p>
    <w:p>
      <w:pPr>
        <w:spacing w:before="0" w:after="24" w:line="264" w:lineRule="auto"/>
        <w:keepLines w:val="1"/>
      </w:pPr>
      <w:r>
        <w:rPr>
          <w:b w:val="0"/>
          <w:i w:val="0"/>
          <w:sz w:val="22"/>
        </w:rPr>
        <w:t>—  no implication that context-bound value is worthless;</w:t>
      </w:r>
    </w:p>
    <w:p>
      <w:pPr>
        <w:spacing w:before="0" w:after="24" w:line="264" w:lineRule="auto"/>
        <w:keepLines w:val="1"/>
      </w:pPr>
      <w:r>
        <w:rPr>
          <w:b w:val="0"/>
          <w:i w:val="0"/>
          <w:sz w:val="22"/>
        </w:rPr>
        <w:t>—  the documentation line keeps its permitted, non-confidential boundary.</w:t>
      </w:r>
    </w:p>
    <w:p>
      <w:pPr>
        <w:spacing w:before="112" w:after="64" w:line="264" w:lineRule="auto"/>
        <w:keepLines w:val="1"/>
        <w:keepNext w:val="1"/>
      </w:pPr>
      <w:r>
        <w:rPr>
          <w:b/>
          <w:i w:val="0"/>
          <w:color w:val="0F2346"/>
          <w:sz w:val="28"/>
        </w:rPr>
        <w:t>8.  CTA and watch next</w:t>
      </w:r>
    </w:p>
    <w:p>
      <w:pPr>
        <w:spacing w:before="0" w:after="40" w:line="264" w:lineRule="auto"/>
        <w:keepLines w:val="1"/>
      </w:pPr>
      <w:r>
        <w:rPr>
          <w:b w:val="0"/>
          <w:i w:val="0"/>
          <w:sz w:val="22"/>
        </w:rPr>
        <w:t>One product CTA only: Capability Formation Field Kit — https://temidayoafonja.com/fieldkit</w:t>
      </w:r>
    </w:p>
    <w:p>
      <w:pPr>
        <w:spacing w:before="0" w:after="48" w:line="264" w:lineRule="auto"/>
        <w:keepLines w:val="1"/>
      </w:pPr>
      <w:r>
        <w:rPr>
          <w:b/>
          <w:i w:val="0"/>
          <w:sz w:val="22"/>
        </w:rPr>
        <w:t>Do not add Keep the Proof or the Career Evidence Starter.</w:t>
      </w:r>
    </w:p>
    <w:p>
      <w:pPr>
        <w:spacing w:before="0" w:after="40" w:line="264" w:lineRule="auto"/>
        <w:keepLines w:val="1"/>
      </w:pPr>
      <w:r>
        <w:rPr>
          <w:b/>
          <w:i w:val="0"/>
          <w:sz w:val="22"/>
        </w:rPr>
        <w:t>Watch next: 3 Things to Do Before Quitting Your Job</w:t>
      </w:r>
    </w:p>
    <w:p>
      <w:pPr>
        <w:spacing w:before="48" w:after="80" w:line="264" w:lineRule="auto"/>
        <w:shd w:val="clear" w:fill="F3F0E8"/>
        <w:keepLines w:val="1"/>
      </w:pPr>
      <w:r>
        <w:rPr>
          <w:b/>
          <w:i w:val="0"/>
          <w:color w:val="9B2C10"/>
          <w:sz w:val="22"/>
        </w:rPr>
        <w:t>DECK DEFECT — NOT FIXED IN THIS PASS. Slide 13 and reveal frame 23 still carry the retired Video 3 title, “Before You Quit Your Job, Check These 3 Things”. The locked Video 3 title is “3 Things to Do Before Quitting Your Job”, which is what Temidayo says. No slide XML change is authorised in this pass, so the card is unchanged and the correction is held for a separate authorisation. Until it is corrected, do not put that card on screen while she names the video: stay on Temidayo, or use the end-screen route.</w:t>
      </w:r>
    </w:p>
    <w:p>
      <w:pPr>
        <w:spacing w:before="0" w:after="64" w:line="264" w:lineRule="auto"/>
        <w:keepLines w:val="1"/>
      </w:pPr>
      <w:r>
        <w:rPr>
          <w:b/>
          <w:i w:val="0"/>
          <w:color w:val="9B2C10"/>
          <w:sz w:val="22"/>
        </w:rPr>
        <w:t>Do not leave Subscribe as the only end-screen element.</w:t>
      </w:r>
    </w:p>
    <w:p>
      <w:pPr>
        <w:spacing w:before="112" w:after="64" w:line="264" w:lineRule="auto"/>
        <w:keepLines w:val="1"/>
        <w:keepNext w:val="1"/>
      </w:pPr>
      <w:r>
        <w:rPr>
          <w:b/>
          <w:i w:val="0"/>
          <w:color w:val="0F2346"/>
          <w:sz w:val="28"/>
        </w:rPr>
        <w:t>9.  Editing rhythm after 0:30</w:t>
      </w:r>
    </w:p>
    <w:p>
      <w:pPr>
        <w:spacing w:before="0" w:after="64" w:line="264" w:lineRule="auto"/>
      </w:pPr>
      <w:r>
        <w:rPr>
          <w:b w:val="0"/>
          <w:i w:val="0"/>
          <w:sz w:val="22"/>
        </w:rPr>
        <w:t>The opening is intentionally more visually active than the rest of the video. Do NOT read H.I.T. as permission to keep that density running. Once the viewer is inside the teaching, the edit should feel premium, calm and editorial.</w:t>
      </w:r>
    </w:p>
    <w:p>
      <w:pPr>
        <w:spacing w:before="0" w:after="24" w:line="264" w:lineRule="auto"/>
        <w:keepLines w:val="1"/>
      </w:pPr>
      <w:r>
        <w:rPr>
          <w:b w:val="0"/>
          <w:i w:val="0"/>
          <w:sz w:val="22"/>
        </w:rPr>
        <w:t>—  preserve Temidayo's natural pacing;        —  use the slides as support;</w:t>
      </w:r>
    </w:p>
    <w:p>
      <w:pPr>
        <w:spacing w:before="0" w:after="24" w:line="264" w:lineRule="auto"/>
        <w:keepLines w:val="1"/>
      </w:pPr>
      <w:r>
        <w:rPr>
          <w:b w:val="0"/>
          <w:i w:val="0"/>
          <w:sz w:val="22"/>
        </w:rPr>
        <w:t>—  avoid decorative motion;        —  avoid constant punch-ins;</w:t>
      </w:r>
    </w:p>
    <w:p>
      <w:pPr>
        <w:spacing w:before="0" w:after="24" w:line="264" w:lineRule="auto"/>
        <w:keepLines w:val="1"/>
      </w:pPr>
      <w:r>
        <w:rPr>
          <w:b w:val="0"/>
          <w:i w:val="0"/>
          <w:sz w:val="22"/>
        </w:rPr>
        <w:t>—  avoid stock office footage;        —  avoid generic résumé B-roll;</w:t>
      </w:r>
    </w:p>
    <w:p>
      <w:pPr>
        <w:spacing w:before="0" w:after="24" w:line="264" w:lineRule="auto"/>
        <w:keepLines w:val="1"/>
      </w:pPr>
      <w:r>
        <w:rPr>
          <w:b w:val="0"/>
          <w:i w:val="0"/>
          <w:sz w:val="22"/>
        </w:rPr>
        <w:t>—  avoid red warning graphics;        —  avoid fake urgency;</w:t>
      </w:r>
    </w:p>
    <w:p>
      <w:pPr>
        <w:spacing w:before="0" w:after="24" w:line="264" w:lineRule="auto"/>
        <w:keepLines w:val="1"/>
      </w:pPr>
      <w:r>
        <w:rPr>
          <w:b w:val="0"/>
          <w:i w:val="0"/>
          <w:sz w:val="22"/>
        </w:rPr>
        <w:t>—  avoid flashy transitions.</w:t>
      </w:r>
    </w:p>
    <w:p>
      <w:pPr>
        <w:spacing w:before="112" w:after="64" w:line="264" w:lineRule="auto"/>
        <w:keepLines w:val="1"/>
        <w:keepNext w:val="1"/>
      </w:pPr>
      <w:r>
        <w:rPr>
          <w:b/>
          <w:i w:val="0"/>
          <w:color w:val="0F2346"/>
          <w:sz w:val="28"/>
        </w:rPr>
        <w:t>10.  Visual “do not use” list</w:t>
      </w:r>
    </w:p>
    <w:p>
      <w:pPr>
        <w:spacing w:before="0" w:after="24" w:line="264" w:lineRule="auto"/>
        <w:keepLines w:val="1"/>
      </w:pPr>
      <w:r>
        <w:rPr>
          <w:b w:val="0"/>
          <w:i w:val="0"/>
          <w:sz w:val="22"/>
        </w:rPr>
        <w:t>—  stock office B-roll;        —  generic résumé graphics;</w:t>
      </w:r>
    </w:p>
    <w:p>
      <w:pPr>
        <w:spacing w:before="0" w:after="24" w:line="264" w:lineRule="auto"/>
        <w:keepLines w:val="1"/>
      </w:pPr>
      <w:r>
        <w:rPr>
          <w:b w:val="0"/>
          <w:i w:val="0"/>
          <w:sz w:val="22"/>
        </w:rPr>
        <w:t>—  employer logos;        —  red warning graphics;</w:t>
      </w:r>
    </w:p>
    <w:p>
      <w:pPr>
        <w:spacing w:before="0" w:after="24" w:line="264" w:lineRule="auto"/>
        <w:keepLines w:val="1"/>
      </w:pPr>
      <w:r>
        <w:rPr>
          <w:b w:val="0"/>
          <w:i w:val="0"/>
          <w:sz w:val="22"/>
        </w:rPr>
        <w:t>—  fake shock expressions;        —  countdown or alarm motifs;</w:t>
      </w:r>
    </w:p>
    <w:p>
      <w:pPr>
        <w:spacing w:before="0" w:after="24" w:line="264" w:lineRule="auto"/>
        <w:keepLines w:val="1"/>
      </w:pPr>
      <w:r>
        <w:rPr>
          <w:b w:val="0"/>
          <w:i w:val="0"/>
          <w:sz w:val="22"/>
        </w:rPr>
        <w:t>—  constant zooms;        —  AI-generated scenery;</w:t>
      </w:r>
    </w:p>
    <w:p>
      <w:pPr>
        <w:spacing w:before="0" w:after="24" w:line="264" w:lineRule="auto"/>
        <w:keepLines w:val="1"/>
      </w:pPr>
      <w:r>
        <w:rPr>
          <w:b w:val="0"/>
          <w:i w:val="0"/>
          <w:sz w:val="22"/>
        </w:rPr>
        <w:t>—  social-media template effects.</w:t>
      </w:r>
    </w:p>
    <w:p>
      <w:pPr>
        <w:spacing w:before="112" w:after="64" w:line="264" w:lineRule="auto"/>
        <w:keepLines w:val="1"/>
        <w:keepNext w:val="1"/>
      </w:pPr>
      <w:r>
        <w:rPr>
          <w:b/>
          <w:i w:val="0"/>
          <w:color w:val="0F2346"/>
          <w:sz w:val="28"/>
        </w:rPr>
        <w:t>11.  Speaker-note update record</w:t>
      </w:r>
    </w:p>
    <w:p>
      <w:pPr>
        <w:spacing w:before="0" w:after="64" w:line="264" w:lineRule="auto"/>
      </w:pPr>
      <w:r>
        <w:rPr>
          <w:b w:val="0"/>
          <w:i w:val="0"/>
          <w:sz w:val="22"/>
        </w:rPr>
        <w:t>Both decks ship with speaker notes rewritten for the v3.0 direct-address script. Nothing on any slide was changed.</w:t>
      </w:r>
    </w:p>
    <w:p>
      <w:pPr>
        <w:spacing w:before="0" w:after="24" w:line="264" w:lineRule="auto"/>
        <w:keepLines w:val="1"/>
      </w:pPr>
      <w:r>
        <w:rPr>
          <w:b w:val="0"/>
          <w:i w:val="0"/>
          <w:sz w:val="22"/>
        </w:rPr>
        <w:t>—  Main deck: 13 notes parts rewritten, one per slide.</w:t>
      </w:r>
    </w:p>
    <w:p>
      <w:pPr>
        <w:spacing w:before="0" w:after="24" w:line="264" w:lineRule="auto"/>
        <w:keepLines w:val="1"/>
      </w:pPr>
      <w:r>
        <w:rPr>
          <w:b w:val="0"/>
          <w:i w:val="0"/>
          <w:sz w:val="22"/>
        </w:rPr>
        <w:t>—  Reveal deck: 23 notes parts rewritten, one per frame.</w:t>
      </w:r>
    </w:p>
    <w:p>
      <w:pPr>
        <w:spacing w:before="0" w:after="24" w:line="264" w:lineRule="auto"/>
        <w:keepLines w:val="1"/>
      </w:pPr>
      <w:r>
        <w:rPr>
          <w:b w:val="0"/>
          <w:i w:val="0"/>
          <w:sz w:val="22"/>
        </w:rPr>
        <w:t>—  Slide XML, geometry, typography, palette and media: unchanged.</w:t>
      </w:r>
    </w:p>
    <w:p>
      <w:pPr>
        <w:spacing w:before="0" w:after="24" w:line="264" w:lineRule="auto"/>
        <w:keepLines w:val="1"/>
      </w:pPr>
      <w:r>
        <w:rPr>
          <w:b w:val="0"/>
          <w:i w:val="0"/>
          <w:sz w:val="22"/>
        </w:rPr>
        <w:t>—  Timings are script-derived working estimates at 145 words per minute for the 1,258-word script.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