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 w:line="250" w:lineRule="auto"/>
      </w:pPr>
      <w:r>
        <w:rPr>
          <w:b/>
          <w:i w:val="0"/>
          <w:color w:val="9B2C10"/>
          <w:sz w:val="44"/>
        </w:rPr>
        <w:t>EDITOR ONLY</w:t>
      </w:r>
    </w:p>
    <w:p>
      <w:pPr>
        <w:spacing w:before="0" w:after="12" w:line="250" w:lineRule="auto"/>
      </w:pPr>
      <w:r>
        <w:rPr>
          <w:b/>
          <w:i w:val="0"/>
          <w:caps/>
          <w:color w:val="8A6D1E"/>
          <w:sz w:val="24"/>
        </w:rPr>
        <w:t>VIDEO 3  ·  v4.0</w:t>
      </w:r>
    </w:p>
    <w:p>
      <w:pPr>
        <w:spacing w:before="0" w:after="36" w:line="250" w:lineRule="auto"/>
      </w:pPr>
      <w:r>
        <w:rPr>
          <w:b/>
          <w:i w:val="0"/>
          <w:color w:val="0F2346"/>
          <w:sz w:val="40"/>
        </w:rPr>
        <w:t>3 Things to Do Before Quitting Your Job</w:t>
      </w:r>
    </w:p>
    <w:p>
      <w:pPr>
        <w:spacing w:before="0" w:after="96" w:line="250" w:lineRule="auto"/>
        <w:shd w:val="clear" w:fill="F3F0E8"/>
      </w:pPr>
      <w:r>
        <w:rPr>
          <w:b w:val="0"/>
          <w:i/>
          <w:color w:val="5A6B82"/>
          <w:sz w:val="22"/>
        </w:rPr>
        <w:t>This document is for the editor. It is NOT Temidayo's teleprompter and must not be placed on the recording screen.</w:t>
      </w:r>
    </w:p>
    <w:p>
      <w:pPr>
        <w:spacing w:before="84" w:after="48" w:line="250" w:lineRule="auto"/>
        <w:keepLines w:val="1"/>
        <w:keepNext w:val="1"/>
      </w:pPr>
      <w:r>
        <w:rPr>
          <w:b/>
          <w:i w:val="0"/>
          <w:color w:val="0F2346"/>
          <w:sz w:val="28"/>
        </w:rPr>
        <w:t>1.  Locked metadata</w:t>
      </w:r>
    </w:p>
    <w:p>
      <w:pPr>
        <w:spacing w:before="0" w:after="30" w:line="250" w:lineRule="auto"/>
        <w:keepLines w:val="1"/>
      </w:pPr>
      <w:r>
        <w:rPr>
          <w:b w:val="0"/>
          <w:i w:val="0"/>
          <w:sz w:val="22"/>
        </w:rPr>
        <w:t>Title:                   3 Things to Do Before Quitting Your Job</w:t>
      </w:r>
    </w:p>
    <w:p>
      <w:pPr>
        <w:spacing w:before="0" w:after="30" w:line="250" w:lineRule="auto"/>
        <w:keepLines w:val="1"/>
      </w:pPr>
      <w:r>
        <w:rPr>
          <w:b w:val="0"/>
          <w:i w:val="0"/>
          <w:sz w:val="22"/>
        </w:rPr>
        <w:t>Thumbnail:               WAIT BEFORE YOU QUIT</w:t>
      </w:r>
    </w:p>
    <w:p>
      <w:pPr>
        <w:spacing w:before="0" w:after="30" w:line="250" w:lineRule="auto"/>
        <w:keepLines w:val="1"/>
      </w:pPr>
      <w:r>
        <w:rPr>
          <w:b w:val="0"/>
          <w:i w:val="0"/>
          <w:sz w:val="22"/>
        </w:rPr>
        <w:t>Primary search phrase:   things to do before quitting your job</w:t>
      </w:r>
    </w:p>
    <w:p>
      <w:pPr>
        <w:spacing w:before="0" w:after="30" w:line="250" w:lineRule="auto"/>
        <w:keepLines w:val="1"/>
      </w:pPr>
      <w:r>
        <w:rPr>
          <w:b w:val="0"/>
          <w:i w:val="0"/>
          <w:sz w:val="22"/>
        </w:rPr>
        <w:t>Primary CTA:             Career Decision Evidence Check</w:t>
      </w:r>
    </w:p>
    <w:p>
      <w:pPr>
        <w:spacing w:before="0" w:after="30" w:line="250" w:lineRule="auto"/>
        <w:keepLines w:val="1"/>
      </w:pPr>
      <w:r>
        <w:rPr>
          <w:b w:val="0"/>
          <w:i w:val="0"/>
          <w:sz w:val="22"/>
        </w:rPr>
        <w:t>CTA URL:                 https://temidayoafonja.com/career-decisions</w:t>
      </w:r>
    </w:p>
    <w:p>
      <w:pPr>
        <w:spacing w:before="0" w:after="30" w:line="250" w:lineRule="auto"/>
        <w:keepLines w:val="1"/>
      </w:pPr>
      <w:r>
        <w:rPr>
          <w:b w:val="0"/>
          <w:i w:val="0"/>
          <w:sz w:val="22"/>
        </w:rPr>
        <w:t>Watch next:              How to Change Jobs Without Starting Your Career Over</w:t>
      </w:r>
    </w:p>
    <w:p>
      <w:pPr>
        <w:spacing w:before="0" w:after="30" w:line="250" w:lineRule="auto"/>
        <w:keepLines w:val="1"/>
      </w:pPr>
      <w:r>
        <w:rPr>
          <w:b w:val="0"/>
          <w:i w:val="0"/>
          <w:sz w:val="22"/>
        </w:rPr>
        <w:t>Strategic job:           Consequential decision / evidence check</w:t>
      </w:r>
    </w:p>
    <w:p>
      <w:pPr>
        <w:spacing w:before="0" w:after="30" w:line="250" w:lineRule="auto"/>
        <w:keepLines w:val="1"/>
      </w:pPr>
      <w:r>
        <w:rPr>
          <w:b w:val="0"/>
          <w:i w:val="0"/>
          <w:sz w:val="22"/>
        </w:rPr>
        <w:t>Core promise:            Help the viewer make a cleaner decision before access changes.</w:t>
      </w:r>
    </w:p>
    <w:p>
      <w:pPr>
        <w:spacing w:before="0" w:after="30" w:line="250" w:lineRule="auto"/>
        <w:keepLines w:val="1"/>
      </w:pPr>
      <w:r>
        <w:rPr>
          <w:b w:val="0"/>
          <w:i w:val="0"/>
          <w:sz w:val="22"/>
        </w:rPr>
        <w:t>Memory device:           The three checks. No acronym, no second framework.</w:t>
      </w:r>
    </w:p>
    <w:p>
      <w:pPr>
        <w:spacing w:before="0" w:after="30" w:line="250" w:lineRule="auto"/>
        <w:keepLines w:val="1"/>
      </w:pPr>
      <w:r>
        <w:rPr>
          <w:b w:val="0"/>
          <w:i w:val="0"/>
          <w:sz w:val="22"/>
        </w:rPr>
        <w:t>CTA production gate:     SATISFIED</w:t>
      </w:r>
    </w:p>
    <w:p>
      <w:pPr>
        <w:spacing w:before="0" w:after="48" w:line="250" w:lineRule="auto"/>
        <w:keepLines w:val="1"/>
      </w:pPr>
      <w:r>
        <w:rPr>
          <w:b/>
          <w:i w:val="0"/>
          <w:color w:val="9B2C10"/>
          <w:sz w:val="22"/>
        </w:rPr>
        <w:t>Do not add the Capability Formation Field Kit, Keep the Proof, the Career Evidence Starter or a second framework to this video.</w:t>
      </w:r>
    </w:p>
    <w:p>
      <w:pPr>
        <w:spacing w:before="0" w:after="60" w:line="250" w:lineRule="auto"/>
        <w:shd w:val="clear" w:fill="F3F0E8"/>
        <w:keepLines w:val="1"/>
      </w:pPr>
      <w:r>
        <w:rPr>
          <w:b/>
          <w:i w:val="0"/>
          <w:color w:val="9B2C10"/>
          <w:sz w:val="22"/>
        </w:rPr>
        <w:t>THIS IS NOT “THREE REASONS NOT TO QUIT”. If leaving is right for this viewer, the video's job is to help them leave with clearer evidence and a better read of the next move. Never edit it into a case for staying.</w:t>
      </w:r>
    </w:p>
    <w:p>
      <w:pPr>
        <w:spacing w:before="84" w:after="48" w:line="250" w:lineRule="auto"/>
        <w:keepLines w:val="1"/>
        <w:keepNext w:val="1"/>
      </w:pPr>
      <w:r>
        <w:rPr>
          <w:b/>
          <w:i w:val="0"/>
          <w:color w:val="0F2346"/>
          <w:sz w:val="28"/>
        </w:rPr>
        <w:t>2.  Direct address is part of the creative</w:t>
      </w:r>
    </w:p>
    <w:p>
      <w:pPr>
        <w:spacing w:before="0" w:after="48" w:line="250" w:lineRule="auto"/>
        <w:shd w:val="clear" w:fill="F3F0E8"/>
        <w:keepLines w:val="1"/>
      </w:pPr>
      <w:r>
        <w:rPr>
          <w:b/>
          <w:i w:val="0"/>
          <w:color w:val="0F2346"/>
          <w:sz w:val="22"/>
        </w:rPr>
        <w:t>Temidayo is speaking to ONE experienced professional sitting across from her. Not a crowd, not a conference room, not an abstract audience.</w:t>
      </w:r>
    </w:p>
    <w:p>
      <w:pPr>
        <w:spacing w:before="60" w:after="30" w:line="250" w:lineRule="auto"/>
        <w:keepLines w:val="1"/>
        <w:keepNext w:val="1"/>
      </w:pPr>
      <w:r>
        <w:rPr>
          <w:b/>
          <w:i w:val="0"/>
          <w:color w:val="0F2346"/>
          <w:sz w:val="23"/>
        </w:rPr>
        <w:t>Editing should support that relationship</w:t>
      </w:r>
    </w:p>
    <w:p>
      <w:pPr>
        <w:spacing w:before="0" w:after="18" w:line="250" w:lineRule="auto"/>
        <w:keepLines w:val="1"/>
      </w:pPr>
      <w:r>
        <w:rPr>
          <w:b w:val="0"/>
          <w:i w:val="0"/>
          <w:sz w:val="22"/>
        </w:rPr>
        <w:t>—  keep direct questions connected to Temidayo's face where useful;</w:t>
      </w:r>
    </w:p>
    <w:p>
      <w:pPr>
        <w:spacing w:before="0" w:after="18" w:line="250" w:lineRule="auto"/>
        <w:keepLines w:val="1"/>
      </w:pPr>
      <w:r>
        <w:rPr>
          <w:b w:val="0"/>
          <w:i w:val="0"/>
          <w:sz w:val="22"/>
        </w:rPr>
        <w:t>—  avoid making this feel like a keynote;</w:t>
      </w:r>
    </w:p>
    <w:p>
      <w:pPr>
        <w:spacing w:before="0" w:after="18" w:line="250" w:lineRule="auto"/>
        <w:keepLines w:val="1"/>
      </w:pPr>
      <w:r>
        <w:rPr>
          <w:b w:val="0"/>
          <w:i w:val="0"/>
          <w:sz w:val="22"/>
        </w:rPr>
        <w:t>—  avoid overusing quote cards;        —  let the slides carry structure;</w:t>
      </w:r>
    </w:p>
    <w:p>
      <w:pPr>
        <w:spacing w:before="0" w:after="18" w:line="250" w:lineRule="auto"/>
        <w:keepLines w:val="1"/>
      </w:pPr>
      <w:r>
        <w:rPr>
          <w:b w:val="0"/>
          <w:i w:val="0"/>
          <w:sz w:val="22"/>
        </w:rPr>
        <w:t>—  let Temidayo carry relationship, interpretation and trust;</w:t>
      </w:r>
    </w:p>
    <w:p>
      <w:pPr>
        <w:spacing w:before="0" w:after="18" w:line="250" w:lineRule="auto"/>
        <w:keepLines w:val="1"/>
      </w:pPr>
      <w:r>
        <w:rPr>
          <w:b w:val="0"/>
          <w:i w:val="0"/>
          <w:sz w:val="22"/>
        </w:rPr>
        <w:t>—  preserve the pauses around direct questions;</w:t>
      </w:r>
    </w:p>
    <w:p>
      <w:pPr>
        <w:spacing w:before="0" w:after="18" w:line="250" w:lineRule="auto"/>
        <w:keepLines w:val="1"/>
      </w:pPr>
      <w:r>
        <w:rPr>
          <w:b w:val="0"/>
          <w:i w:val="0"/>
          <w:sz w:val="22"/>
        </w:rPr>
        <w:t>—  avoid generic “career guru” visual language.</w:t>
      </w:r>
    </w:p>
    <w:p>
      <w:pPr>
        <w:spacing w:before="60" w:after="30" w:line="250" w:lineRule="auto"/>
        <w:keepLines w:val="1"/>
        <w:keepNext w:val="1"/>
      </w:pPr>
      <w:r>
        <w:rPr>
          <w:b/>
          <w:i w:val="0"/>
          <w:color w:val="0F2346"/>
          <w:sz w:val="23"/>
        </w:rPr>
        <w:t>Relational beats — do not cut these as filler</w:t>
      </w:r>
    </w:p>
    <w:p>
      <w:pPr>
        <w:spacing w:before="0" w:after="30" w:line="250" w:lineRule="auto"/>
        <w:keepLines w:val="1"/>
      </w:pPr>
      <w:r>
        <w:rPr>
          <w:b w:val="0"/>
          <w:i w:val="0"/>
          <w:sz w:val="21"/>
        </w:rPr>
        <w:t>“If you’re going to quit your job…”</w:t>
      </w:r>
    </w:p>
    <w:p>
      <w:pPr>
        <w:spacing w:before="0" w:after="30" w:line="250" w:lineRule="auto"/>
        <w:keepLines w:val="1"/>
      </w:pPr>
      <w:r>
        <w:rPr>
          <w:b w:val="0"/>
          <w:i w:val="0"/>
          <w:sz w:val="21"/>
        </w:rPr>
        <w:t>“And that is what I want to help you do before you hand in your notice.”</w:t>
      </w:r>
    </w:p>
    <w:p>
      <w:pPr>
        <w:spacing w:before="0" w:after="30" w:line="250" w:lineRule="auto"/>
        <w:keepLines w:val="1"/>
      </w:pPr>
      <w:r>
        <w:rPr>
          <w:b w:val="0"/>
          <w:i w:val="0"/>
          <w:sz w:val="21"/>
        </w:rPr>
        <w:t>“Before I take you any further, I want to be very clear about one boundary.”</w:t>
      </w:r>
    </w:p>
    <w:p>
      <w:pPr>
        <w:spacing w:before="0" w:after="30" w:line="250" w:lineRule="auto"/>
        <w:keepLines w:val="1"/>
      </w:pPr>
      <w:r>
        <w:rPr>
          <w:b w:val="0"/>
          <w:i w:val="0"/>
          <w:sz w:val="21"/>
        </w:rPr>
        <w:t>“I am not trying to make you hesitate. I am trying to make sure you do not leave the meaning of your own experience behind.”</w:t>
      </w:r>
    </w:p>
    <w:p>
      <w:pPr>
        <w:spacing w:before="0" w:after="30" w:line="250" w:lineRule="auto"/>
        <w:keepLines w:val="1"/>
      </w:pPr>
      <w:r>
        <w:rPr>
          <w:b w:val="0"/>
          <w:i w:val="0"/>
          <w:sz w:val="21"/>
        </w:rPr>
        <w:t>“I am not trying to make your decision slow. I am trying to make it legible to you.”</w:t>
      </w:r>
    </w:p>
    <w:p>
      <w:pPr>
        <w:spacing w:before="0" w:after="48" w:line="250" w:lineRule="auto"/>
        <w:shd w:val="clear" w:fill="F3F0E8"/>
        <w:keepLines w:val="1"/>
      </w:pPr>
      <w:r>
        <w:rPr>
          <w:b/>
          <w:i w:val="0"/>
          <w:color w:val="9B2C10"/>
          <w:sz w:val="22"/>
        </w:rPr>
        <w:t>They are part of the viewer relationship, not padding. Do not trim them for pace, and do not let a graphic cover Temidayo while she says one.</w:t>
      </w:r>
    </w:p>
    <w:p>
      <w:pPr>
        <w:spacing w:before="0" w:after="48" w:line="250" w:lineRule="auto"/>
        <w:keepLines w:val="1"/>
      </w:pPr>
      <w:r>
        <w:rPr>
          <w:b w:val="0"/>
          <w:i w:val="0"/>
          <w:sz w:val="22"/>
        </w:rPr>
        <w:t>Do not reintroduce detached phrasing — “some people”, “professionals often”, “people may”, “a person should”, “employees often”, “workers may”, “many professionals” — anywhere in the edit, the captions or the on-screen text.</w:t>
      </w:r>
    </w:p>
    <w:p>
      <w:pPr>
        <w:spacing w:before="84" w:after="48" w:line="250" w:lineRule="auto"/>
        <w:keepLines w:val="1"/>
        <w:keepNext w:val="1"/>
      </w:pPr>
      <w:r>
        <w:rPr>
          <w:b/>
          <w:i w:val="0"/>
          <w:color w:val="0F2346"/>
          <w:sz w:val="28"/>
        </w:rPr>
        <w:t>3.  First 30 seconds — H.I.T. map</w:t>
      </w:r>
    </w:p>
    <w:p>
      <w:pPr>
        <w:spacing w:before="0" w:after="48" w:line="250" w:lineRule="auto"/>
      </w:pPr>
      <w:r>
        <w:rPr>
          <w:b w:val="0"/>
          <w:i w:val="0"/>
          <w:sz w:val="22"/>
        </w:rPr>
        <w:t>H = Hook. I = Interest. T = Trust. The opening must work as one audiovisual unit: immediate conversational hook, meaningful visual interest, relevant lived proof and a clear payoff by 30 seconds. No title card before the promise.</w:t>
      </w:r>
    </w:p>
    <w:p>
      <w:pPr>
        <w:spacing w:before="0" w:after="60" w:line="250" w:lineRule="auto"/>
        <w:shd w:val="clear" w:fill="F3F0E8"/>
        <w:keepLines w:val="1"/>
      </w:pPr>
      <w:r>
        <w:rPr>
          <w:b/>
          <w:i w:val="0"/>
          <w:color w:val="9B2C10"/>
          <w:sz w:val="22"/>
        </w:rPr>
        <w:t>This supersedes the older Video 3 opening and any earlier instruction that kept Temidayo visually static or fully off-camera in the first 30 seconds.</w:t>
      </w:r>
    </w:p>
    <w:p>
      <w:pPr>
        <w:spacing w:before="60" w:after="30" w:line="250" w:lineRule="auto"/>
        <w:keepLines w:val="1"/>
        <w:keepNext w:val="1"/>
      </w:pPr>
      <w:r>
        <w:rPr>
          <w:b/>
          <w:i w:val="0"/>
          <w:color w:val="0F2346"/>
          <w:sz w:val="23"/>
        </w:rPr>
        <w:t>0:00–0:12</w:t>
      </w:r>
    </w:p>
    <w:p>
      <w:pPr>
        <w:spacing w:before="0" w:after="48" w:line="250" w:lineRule="auto"/>
        <w:shd w:val="clear" w:fill="F3F0E8"/>
      </w:pPr>
      <w:r>
        <w:rPr>
          <w:b w:val="0"/>
          <w:i/>
          <w:color w:val="5A6B82"/>
          <w:sz w:val="21"/>
        </w:rPr>
        <w:t>Spoken anchor:  “If you’re going to quit your job, don’t wait until after you leave to work out what your work actually built in you.”</w:t>
      </w:r>
    </w:p>
    <w:p>
      <w:pPr>
        <w:spacing w:before="0" w:after="36" w:line="250" w:lineRule="auto"/>
        <w:keepLines w:val="1"/>
      </w:pPr>
      <w:r>
        <w:rPr>
          <w:b/>
          <w:i w:val="0"/>
          <w:color w:val="8A6D1E"/>
          <w:sz w:val="22"/>
        </w:rPr>
        <w:t>H = HOOK</w:t>
      </w:r>
    </w:p>
    <w:p>
      <w:pPr>
        <w:spacing w:before="0" w:after="30" w:line="250" w:lineRule="auto"/>
        <w:keepLines w:val="1"/>
      </w:pPr>
      <w:r>
        <w:rPr>
          <w:b w:val="0"/>
          <w:i w:val="0"/>
          <w:sz w:val="22"/>
        </w:rPr>
        <w:t>Visual: begin on Temidayo, direct to camera.</w:t>
      </w:r>
    </w:p>
    <w:p>
      <w:pPr>
        <w:spacing w:before="0" w:after="30" w:line="250" w:lineRule="auto"/>
        <w:keepLines w:val="1"/>
      </w:pPr>
      <w:r>
        <w:rPr>
          <w:b w:val="0"/>
          <w:i w:val="0"/>
          <w:sz w:val="22"/>
        </w:rPr>
        <w:t>On-screen text:  WAIT BEFORE YOU QUIT</w:t>
      </w:r>
    </w:p>
    <w:p>
      <w:pPr>
        <w:spacing w:before="0" w:after="30" w:line="250" w:lineRule="auto"/>
        <w:keepLines w:val="1"/>
      </w:pPr>
      <w:r>
        <w:rPr>
          <w:b w:val="0"/>
          <w:i w:val="0"/>
          <w:sz w:val="22"/>
        </w:rPr>
        <w:t>Do not use a title card before this.</w:t>
      </w:r>
    </w:p>
    <w:p>
      <w:pPr>
        <w:spacing w:before="0" w:after="30" w:line="250" w:lineRule="auto"/>
        <w:keepLines w:val="1"/>
      </w:pPr>
      <w:r>
        <w:rPr>
          <w:b w:val="0"/>
          <w:i w:val="0"/>
          <w:sz w:val="22"/>
        </w:rPr>
        <w:t>Then:  ACCESS CHANGES  ·  SYSTEMS CLOSE  ·  PEOPLE MOVE ON</w:t>
      </w:r>
    </w:p>
    <w:p>
      <w:pPr>
        <w:spacing w:before="60" w:after="30" w:line="250" w:lineRule="auto"/>
        <w:keepLines w:val="1"/>
        <w:keepNext w:val="1"/>
      </w:pPr>
      <w:r>
        <w:rPr>
          <w:b/>
          <w:i w:val="0"/>
          <w:color w:val="0F2346"/>
          <w:sz w:val="23"/>
        </w:rPr>
        <w:t>0:12–0:25</w:t>
      </w:r>
    </w:p>
    <w:p>
      <w:pPr>
        <w:spacing w:before="0" w:after="48" w:line="250" w:lineRule="auto"/>
        <w:shd w:val="clear" w:fill="F3F0E8"/>
      </w:pPr>
      <w:r>
        <w:rPr>
          <w:b w:val="0"/>
          <w:i/>
          <w:color w:val="5A6B82"/>
          <w:sz w:val="21"/>
        </w:rPr>
        <w:t>Spoken anchor:  “Before you resign, check three things: what you can preserve, what your work proved you can do, and what your next move needs to build.”</w:t>
      </w:r>
    </w:p>
    <w:p>
      <w:pPr>
        <w:spacing w:before="0" w:after="36" w:line="250" w:lineRule="auto"/>
        <w:keepLines w:val="1"/>
      </w:pPr>
      <w:r>
        <w:rPr>
          <w:b/>
          <w:i w:val="0"/>
          <w:color w:val="8A6D1E"/>
          <w:sz w:val="22"/>
        </w:rPr>
        <w:t>I = INTEREST</w:t>
      </w:r>
    </w:p>
    <w:p>
      <w:pPr>
        <w:spacing w:before="0" w:after="30" w:line="250" w:lineRule="auto"/>
        <w:keepLines w:val="1"/>
      </w:pPr>
      <w:r>
        <w:rPr>
          <w:b w:val="0"/>
          <w:i w:val="0"/>
          <w:sz w:val="22"/>
        </w:rPr>
        <w:t>Restrained three-item reveal. This is the promise of the video.</w:t>
      </w:r>
    </w:p>
    <w:p>
      <w:pPr>
        <w:spacing w:before="0" w:after="30" w:line="250" w:lineRule="auto"/>
        <w:keepLines w:val="1"/>
      </w:pPr>
      <w:r>
        <w:rPr>
          <w:b w:val="0"/>
          <w:i w:val="0"/>
          <w:sz w:val="22"/>
        </w:rPr>
        <w:t>Do not turn it into a countdown or a warning graphic.</w:t>
      </w:r>
    </w:p>
    <w:p>
      <w:pPr>
        <w:spacing w:before="60" w:after="30" w:line="250" w:lineRule="auto"/>
        <w:keepLines w:val="1"/>
        <w:keepNext w:val="1"/>
      </w:pPr>
      <w:r>
        <w:rPr>
          <w:b/>
          <w:i w:val="0"/>
          <w:color w:val="0F2346"/>
          <w:sz w:val="23"/>
        </w:rPr>
        <w:t>0:25–0:31</w:t>
      </w:r>
    </w:p>
    <w:p>
      <w:pPr>
        <w:spacing w:before="0" w:after="48" w:line="250" w:lineRule="auto"/>
        <w:shd w:val="clear" w:fill="F3F0E8"/>
      </w:pPr>
      <w:r>
        <w:rPr>
          <w:b w:val="0"/>
          <w:i/>
          <w:color w:val="5A6B82"/>
          <w:sz w:val="21"/>
        </w:rPr>
        <w:t>Spoken anchor:  “I’ve worked inside systems where performance and talent decisions are documented, so I know how quickly that context can disappear.”</w:t>
      </w:r>
    </w:p>
    <w:p>
      <w:pPr>
        <w:spacing w:before="0" w:after="36" w:line="250" w:lineRule="auto"/>
        <w:keepLines w:val="1"/>
      </w:pPr>
      <w:r>
        <w:rPr>
          <w:b/>
          <w:i w:val="0"/>
          <w:color w:val="8A6D1E"/>
          <w:sz w:val="22"/>
        </w:rPr>
        <w:t>T = TRUST</w:t>
      </w:r>
    </w:p>
    <w:p>
      <w:pPr>
        <w:spacing w:before="0" w:after="30" w:line="250" w:lineRule="auto"/>
        <w:keepLines w:val="1"/>
      </w:pPr>
      <w:r>
        <w:rPr>
          <w:b w:val="0"/>
          <w:i w:val="0"/>
          <w:sz w:val="22"/>
        </w:rPr>
        <w:t>Stay on Temidayo. This is lived perspective, not a credential recital.</w:t>
      </w:r>
    </w:p>
    <w:p>
      <w:pPr>
        <w:spacing w:before="0" w:after="30" w:line="250" w:lineRule="auto"/>
        <w:keepLines w:val="1"/>
      </w:pPr>
      <w:r>
        <w:rPr>
          <w:b w:val="0"/>
          <w:i w:val="0"/>
          <w:sz w:val="22"/>
        </w:rPr>
        <w:t>FACTUAL BOUNDARY: no employer, client, system name, metric or result.</w:t>
      </w:r>
    </w:p>
    <w:p>
      <w:pPr>
        <w:spacing w:before="60" w:after="30" w:line="250" w:lineRule="auto"/>
        <w:keepLines w:val="1"/>
        <w:keepNext w:val="1"/>
      </w:pPr>
      <w:r>
        <w:rPr>
          <w:b/>
          <w:i w:val="0"/>
          <w:color w:val="0F2346"/>
          <w:sz w:val="23"/>
        </w:rPr>
        <w:t>0:31–0:40</w:t>
      </w:r>
    </w:p>
    <w:p>
      <w:pPr>
        <w:spacing w:before="0" w:after="48" w:line="250" w:lineRule="auto"/>
        <w:shd w:val="clear" w:fill="F3F0E8"/>
      </w:pPr>
      <w:r>
        <w:rPr>
          <w:b w:val="0"/>
          <w:i/>
          <w:color w:val="5A6B82"/>
          <w:sz w:val="21"/>
        </w:rPr>
        <w:t>Spoken anchor:  “And if your health or safety is at risk, this is not a reason to wait.”</w:t>
      </w:r>
    </w:p>
    <w:p>
      <w:pPr>
        <w:spacing w:before="0" w:after="36" w:line="250" w:lineRule="auto"/>
        <w:keepLines w:val="1"/>
      </w:pPr>
      <w:r>
        <w:rPr>
          <w:b/>
          <w:i w:val="0"/>
          <w:color w:val="8A6D1E"/>
          <w:sz w:val="22"/>
        </w:rPr>
        <w:t>SAFETY</w:t>
      </w:r>
    </w:p>
    <w:p>
      <w:pPr>
        <w:spacing w:before="0" w:after="30" w:line="250" w:lineRule="auto"/>
        <w:keepLines w:val="1"/>
      </w:pPr>
      <w:r>
        <w:rPr>
          <w:b w:val="0"/>
          <w:i w:val="0"/>
          <w:sz w:val="22"/>
        </w:rPr>
        <w:t>This lands in the opening and it is not optional.</w:t>
      </w:r>
    </w:p>
    <w:p>
      <w:pPr>
        <w:spacing w:before="0" w:after="30" w:line="250" w:lineRule="auto"/>
        <w:keepLines w:val="1"/>
      </w:pPr>
      <w:r>
        <w:rPr>
          <w:b w:val="0"/>
          <w:i w:val="0"/>
          <w:sz w:val="22"/>
        </w:rPr>
        <w:t>Deliver it plainly and humanely. No legal-notice treatment, no fine print, no red alarm graphic, no cutaway.</w:t>
      </w:r>
    </w:p>
    <w:p>
      <w:pPr>
        <w:spacing w:before="0" w:after="30" w:line="250" w:lineRule="auto"/>
        <w:keepLines w:val="1"/>
      </w:pPr>
      <w:r>
        <w:rPr>
          <w:b w:val="0"/>
          <w:i w:val="0"/>
          <w:sz w:val="22"/>
        </w:rPr>
        <w:t>It is restated in full on slide 2. Do not cut either instance.</w:t>
      </w:r>
    </w:p>
    <w:p>
      <w:pPr>
        <w:spacing w:before="72" w:after="30" w:line="250" w:lineRule="auto"/>
        <w:keepLines w:val="1"/>
        <w:keepNext w:val="1"/>
      </w:pPr>
      <w:r>
        <w:rPr>
          <w:b/>
          <w:i w:val="0"/>
          <w:color w:val="0F2346"/>
          <w:sz w:val="23"/>
        </w:rPr>
        <w:t>First-30-second audit table</w:t>
      </w:r>
    </w:p>
    <w:p>
      <w:pPr>
        <w:spacing w:before="0" w:after="48" w:line="250" w:lineRule="auto"/>
        <w:keepLines w:val="1"/>
      </w:pPr>
      <w:r>
        <w:rPr>
          <w:b w:val="0"/>
          <w:i/>
          <w:color w:val="5A6B82"/>
          <w:sz w:val="21"/>
        </w:rPr>
        <w:t>Audited against the v4.0 standard. The existing opening passed on every criterion — the safety line already sits inside the first 30 seconds — so only the voice register was revised.</w:t>
      </w:r>
    </w:p>
    <w:tbl>
      <w:tblPr>
        <w:tblStyle w:val="TableGrid"/>
        <w:tblW w:type="auto" w:w="0"/>
        <w:jc w:val="left"/>
        <w:tblLook w:firstColumn="1" w:firstRow="1" w:lastColumn="0" w:lastRow="0" w:noHBand="0" w:noVBand="1" w:val="04A0"/>
      </w:tblPr>
      <w:tblGrid>
        <w:gridCol w:w="1317"/>
        <w:gridCol w:w="1317"/>
        <w:gridCol w:w="1317"/>
        <w:gridCol w:w="1317"/>
        <w:gridCol w:w="1317"/>
        <w:gridCol w:w="1317"/>
        <w:gridCol w:w="1317"/>
      </w:tblGrid>
      <w:tr>
        <w:tc>
          <w:tcPr>
            <w:tcW w:type="dxa" w:w="749"/>
          </w:tcPr>
          <w:p>
            <w:pPr>
              <w:spacing w:after="40"/>
              <w:shd w:val="clear" w:fill="E8EDF4"/>
            </w:pPr>
            <w:r/>
            <w:r>
              <w:rPr>
                <w:b/>
                <w:color w:val="0F2346"/>
                <w:sz w:val="16"/>
              </w:rPr>
              <w:t>Time</w:t>
            </w:r>
          </w:p>
        </w:tc>
        <w:tc>
          <w:tcPr>
            <w:tcW w:type="dxa" w:w="2333"/>
          </w:tcPr>
          <w:p>
            <w:pPr>
              <w:spacing w:after="40"/>
              <w:shd w:val="clear" w:fill="E8EDF4"/>
            </w:pPr>
            <w:r/>
            <w:r>
              <w:rPr>
                <w:b/>
                <w:color w:val="0F2346"/>
                <w:sz w:val="16"/>
              </w:rPr>
              <w:t>Exact spoken line</w:t>
            </w:r>
          </w:p>
        </w:tc>
        <w:tc>
          <w:tcPr>
            <w:tcW w:type="dxa" w:w="1325"/>
          </w:tcPr>
          <w:p>
            <w:pPr>
              <w:spacing w:after="40"/>
              <w:shd w:val="clear" w:fill="E8EDF4"/>
            </w:pPr>
            <w:r/>
            <w:r>
              <w:rPr>
                <w:b/>
                <w:color w:val="0F2346"/>
                <w:sz w:val="16"/>
              </w:rPr>
              <w:t>Verbal hook job</w:t>
            </w:r>
          </w:p>
        </w:tc>
        <w:tc>
          <w:tcPr>
            <w:tcW w:type="dxa" w:w="1512"/>
          </w:tcPr>
          <w:p>
            <w:pPr>
              <w:spacing w:after="40"/>
              <w:shd w:val="clear" w:fill="E8EDF4"/>
            </w:pPr>
            <w:r/>
            <w:r>
              <w:rPr>
                <w:b/>
                <w:color w:val="0F2346"/>
                <w:sz w:val="16"/>
              </w:rPr>
              <w:t>On-screen hook</w:t>
            </w:r>
          </w:p>
        </w:tc>
        <w:tc>
          <w:tcPr>
            <w:tcW w:type="dxa" w:w="1584"/>
          </w:tcPr>
          <w:p>
            <w:pPr>
              <w:spacing w:after="40"/>
              <w:shd w:val="clear" w:fill="E8EDF4"/>
            </w:pPr>
            <w:r/>
            <w:r>
              <w:rPr>
                <w:b/>
                <w:color w:val="0F2346"/>
                <w:sz w:val="16"/>
              </w:rPr>
              <w:t>Visual / editor cue</w:t>
            </w:r>
          </w:p>
        </w:tc>
        <w:tc>
          <w:tcPr>
            <w:tcW w:type="dxa" w:w="1325"/>
          </w:tcPr>
          <w:p>
            <w:pPr>
              <w:spacing w:after="40"/>
              <w:shd w:val="clear" w:fill="E8EDF4"/>
            </w:pPr>
            <w:r/>
            <w:r>
              <w:rPr>
                <w:b/>
                <w:color w:val="0F2346"/>
                <w:sz w:val="16"/>
              </w:rPr>
              <w:t>Trust / proof beat</w:t>
            </w:r>
          </w:p>
        </w:tc>
        <w:tc>
          <w:tcPr>
            <w:tcW w:type="dxa" w:w="1397"/>
          </w:tcPr>
          <w:p>
            <w:pPr>
              <w:spacing w:after="40"/>
              <w:shd w:val="clear" w:fill="E8EDF4"/>
            </w:pPr>
            <w:r/>
            <w:r>
              <w:rPr>
                <w:b/>
                <w:color w:val="0F2346"/>
                <w:sz w:val="16"/>
              </w:rPr>
              <w:t>Viewer payoff</w:t>
            </w:r>
          </w:p>
        </w:tc>
      </w:tr>
      <w:tr>
        <w:tc>
          <w:tcPr>
            <w:tcW w:type="dxa" w:w="749"/>
          </w:tcPr>
          <w:p>
            <w:pPr>
              <w:spacing w:after="40" w:line="252" w:lineRule="auto"/>
            </w:pPr>
            <w:r/>
            <w:r>
              <w:rPr>
                <w:sz w:val="16"/>
              </w:rPr>
              <w:t>0:00–0:12</w:t>
            </w:r>
          </w:p>
        </w:tc>
        <w:tc>
          <w:tcPr>
            <w:tcW w:type="dxa" w:w="2333"/>
          </w:tcPr>
          <w:p>
            <w:pPr>
              <w:spacing w:after="40" w:line="252" w:lineRule="auto"/>
            </w:pPr>
            <w:r/>
            <w:r>
              <w:rPr>
                <w:sz w:val="16"/>
              </w:rPr>
              <w:t>“If you’re going to quit your job, don’t wait until after you leave to work out what your work actually built in you.”</w:t>
            </w:r>
          </w:p>
        </w:tc>
        <w:tc>
          <w:tcPr>
            <w:tcW w:type="dxa" w:w="1325"/>
          </w:tcPr>
          <w:p>
            <w:pPr>
              <w:spacing w:after="40" w:line="252" w:lineRule="auto"/>
            </w:pPr>
            <w:r/>
            <w:r>
              <w:rPr>
                <w:sz w:val="16"/>
              </w:rPr>
              <w:t>A real consequence the viewer is about to walk into.</w:t>
            </w:r>
          </w:p>
        </w:tc>
        <w:tc>
          <w:tcPr>
            <w:tcW w:type="dxa" w:w="1512"/>
          </w:tcPr>
          <w:p>
            <w:pPr>
              <w:spacing w:after="40" w:line="252" w:lineRule="auto"/>
            </w:pPr>
            <w:r/>
            <w:r>
              <w:rPr>
                <w:sz w:val="16"/>
              </w:rPr>
              <w:t>WAIT BEFORE YOU QUIT</w:t>
            </w:r>
          </w:p>
        </w:tc>
        <w:tc>
          <w:tcPr>
            <w:tcW w:type="dxa" w:w="1584"/>
          </w:tcPr>
          <w:p>
            <w:pPr>
              <w:spacing w:after="40" w:line="252" w:lineRule="auto"/>
            </w:pPr>
            <w:r/>
            <w:r>
              <w:rPr>
                <w:sz w:val="16"/>
              </w:rPr>
              <w:t>Open on Temidayo, direct to camera. No title card. Then ACCESS CHANGES · SYSTEMS CLOSE · PEOPLE MOVE ON.</w:t>
            </w:r>
          </w:p>
        </w:tc>
        <w:tc>
          <w:tcPr>
            <w:tcW w:type="dxa" w:w="1325"/>
          </w:tcPr>
          <w:p>
            <w:pPr>
              <w:spacing w:after="40" w:line="252" w:lineRule="auto"/>
            </w:pPr>
            <w:r/>
            <w:r>
              <w:rPr>
                <w:sz w:val="16"/>
              </w:rPr>
              <w:t>Spoken as a practitioner's warning, not a scare line.</w:t>
            </w:r>
          </w:p>
        </w:tc>
        <w:tc>
          <w:tcPr>
            <w:tcW w:type="dxa" w:w="1397"/>
          </w:tcPr>
          <w:p>
            <w:pPr>
              <w:spacing w:after="40" w:line="252" w:lineRule="auto"/>
            </w:pPr>
            <w:r/>
            <w:r>
              <w:rPr>
                <w:sz w:val="16"/>
              </w:rPr>
              <w:t>The viewer learns there is something to do before resigning.</w:t>
            </w:r>
          </w:p>
        </w:tc>
      </w:tr>
      <w:tr>
        <w:tc>
          <w:tcPr>
            <w:tcW w:type="dxa" w:w="749"/>
          </w:tcPr>
          <w:p>
            <w:pPr>
              <w:spacing w:after="40" w:line="252" w:lineRule="auto"/>
            </w:pPr>
            <w:r/>
            <w:r>
              <w:rPr>
                <w:sz w:val="16"/>
              </w:rPr>
              <w:t>0:12–0:25</w:t>
            </w:r>
          </w:p>
        </w:tc>
        <w:tc>
          <w:tcPr>
            <w:tcW w:type="dxa" w:w="2333"/>
          </w:tcPr>
          <w:p>
            <w:pPr>
              <w:spacing w:after="40" w:line="252" w:lineRule="auto"/>
            </w:pPr>
            <w:r/>
            <w:r>
              <w:rPr>
                <w:sz w:val="16"/>
              </w:rPr>
              <w:t>“Before you resign, check three things: what you can preserve, what your work proved you can do, and what your next move needs to build.”</w:t>
            </w:r>
          </w:p>
        </w:tc>
        <w:tc>
          <w:tcPr>
            <w:tcW w:type="dxa" w:w="1325"/>
          </w:tcPr>
          <w:p>
            <w:pPr>
              <w:spacing w:after="40" w:line="252" w:lineRule="auto"/>
            </w:pPr>
            <w:r/>
            <w:r>
              <w:rPr>
                <w:sz w:val="16"/>
              </w:rPr>
              <w:t>Direct offer of the method.</w:t>
            </w:r>
          </w:p>
        </w:tc>
        <w:tc>
          <w:tcPr>
            <w:tcW w:type="dxa" w:w="1512"/>
          </w:tcPr>
          <w:p>
            <w:pPr>
              <w:spacing w:after="40" w:line="252" w:lineRule="auto"/>
            </w:pPr>
            <w:r/>
            <w:r>
              <w:rPr>
                <w:sz w:val="16"/>
              </w:rPr>
              <w:t>3 CHECKS BEFORE YOU RESIGN</w:t>
            </w:r>
          </w:p>
        </w:tc>
        <w:tc>
          <w:tcPr>
            <w:tcW w:type="dxa" w:w="1584"/>
          </w:tcPr>
          <w:p>
            <w:pPr>
              <w:spacing w:after="40" w:line="252" w:lineRule="auto"/>
            </w:pPr>
            <w:r/>
            <w:r>
              <w:rPr>
                <w:sz w:val="16"/>
              </w:rPr>
              <w:t>Restrained three-item reveal. No countdown, no warning graphic.</w:t>
            </w:r>
          </w:p>
        </w:tc>
        <w:tc>
          <w:tcPr>
            <w:tcW w:type="dxa" w:w="1325"/>
          </w:tcPr>
          <w:p>
            <w:pPr>
              <w:spacing w:after="40" w:line="252" w:lineRule="auto"/>
            </w:pPr>
            <w:r/>
            <w:r>
              <w:rPr>
                <w:sz w:val="16"/>
              </w:rPr>
              <w:t>The three checks are the video's whole promise.</w:t>
            </w:r>
          </w:p>
        </w:tc>
        <w:tc>
          <w:tcPr>
            <w:tcW w:type="dxa" w:w="1397"/>
          </w:tcPr>
          <w:p>
            <w:pPr>
              <w:spacing w:after="40" w:line="252" w:lineRule="auto"/>
            </w:pPr>
            <w:r/>
            <w:r>
              <w:rPr>
                <w:sz w:val="16"/>
              </w:rPr>
              <w:t>Payoff is explicit by 25 seconds.</w:t>
            </w:r>
          </w:p>
        </w:tc>
      </w:tr>
      <w:tr>
        <w:tc>
          <w:tcPr>
            <w:tcW w:type="dxa" w:w="749"/>
          </w:tcPr>
          <w:p>
            <w:pPr>
              <w:spacing w:after="40" w:line="252" w:lineRule="auto"/>
            </w:pPr>
            <w:r/>
            <w:r>
              <w:rPr>
                <w:sz w:val="16"/>
              </w:rPr>
              <w:t>0:25–0:31</w:t>
            </w:r>
          </w:p>
        </w:tc>
        <w:tc>
          <w:tcPr>
            <w:tcW w:type="dxa" w:w="2333"/>
          </w:tcPr>
          <w:p>
            <w:pPr>
              <w:spacing w:after="40" w:line="252" w:lineRule="auto"/>
            </w:pPr>
            <w:r/>
            <w:r>
              <w:rPr>
                <w:sz w:val="16"/>
              </w:rPr>
              <w:t>“I’ve worked inside systems where performance and talent decisions are documented, so I know how quickly that context can disappear.”</w:t>
            </w:r>
          </w:p>
        </w:tc>
        <w:tc>
          <w:tcPr>
            <w:tcW w:type="dxa" w:w="1325"/>
          </w:tcPr>
          <w:p>
            <w:pPr>
              <w:spacing w:after="40" w:line="252" w:lineRule="auto"/>
            </w:pPr>
            <w:r/>
            <w:r>
              <w:rPr>
                <w:sz w:val="16"/>
              </w:rPr>
              <w:t>Lived organizational vantage point.</w:t>
            </w:r>
          </w:p>
        </w:tc>
        <w:tc>
          <w:tcPr>
            <w:tcW w:type="dxa" w:w="1512"/>
          </w:tcPr>
          <w:p>
            <w:pPr>
              <w:spacing w:after="40" w:line="252" w:lineRule="auto"/>
            </w:pPr>
            <w:r/>
            <w:r>
              <w:rPr>
                <w:sz w:val="16"/>
              </w:rPr>
              <w:t>—</w:t>
            </w:r>
          </w:p>
        </w:tc>
        <w:tc>
          <w:tcPr>
            <w:tcW w:type="dxa" w:w="1584"/>
          </w:tcPr>
          <w:p>
            <w:pPr>
              <w:spacing w:after="40" w:line="252" w:lineRule="auto"/>
            </w:pPr>
            <w:r/>
            <w:r>
              <w:rPr>
                <w:sz w:val="16"/>
              </w:rPr>
              <w:t>Stay on Temidayo. No B-roll.</w:t>
            </w:r>
          </w:p>
        </w:tc>
        <w:tc>
          <w:tcPr>
            <w:tcW w:type="dxa" w:w="1325"/>
          </w:tcPr>
          <w:p>
            <w:pPr>
              <w:spacing w:after="40" w:line="252" w:lineRule="auto"/>
            </w:pPr>
            <w:r/>
            <w:r>
              <w:rPr>
                <w:sz w:val="16"/>
              </w:rPr>
              <w:t>Observed evidence from inside performance and talent systems. No employer, client, metric or result.</w:t>
            </w:r>
          </w:p>
        </w:tc>
        <w:tc>
          <w:tcPr>
            <w:tcW w:type="dxa" w:w="1397"/>
          </w:tcPr>
          <w:p>
            <w:pPr>
              <w:spacing w:after="40" w:line="252" w:lineRule="auto"/>
            </w:pPr>
            <w:r/>
            <w:r>
              <w:rPr>
                <w:sz w:val="16"/>
              </w:rPr>
              <w:t>The viewer sees why she can read what disappears on exit.</w:t>
            </w:r>
          </w:p>
        </w:tc>
      </w:tr>
      <w:tr>
        <w:tc>
          <w:tcPr>
            <w:tcW w:type="dxa" w:w="749"/>
          </w:tcPr>
          <w:p>
            <w:pPr>
              <w:spacing w:after="40" w:line="252" w:lineRule="auto"/>
            </w:pPr>
            <w:r/>
            <w:r>
              <w:rPr>
                <w:sz w:val="16"/>
              </w:rPr>
              <w:t>0:31–0:40</w:t>
            </w:r>
          </w:p>
        </w:tc>
        <w:tc>
          <w:tcPr>
            <w:tcW w:type="dxa" w:w="2333"/>
          </w:tcPr>
          <w:p>
            <w:pPr>
              <w:spacing w:after="40" w:line="252" w:lineRule="auto"/>
            </w:pPr>
            <w:r/>
            <w:r>
              <w:rPr>
                <w:sz w:val="16"/>
              </w:rPr>
              <w:t>“And if your health or safety is at risk, this is not a reason to wait.”</w:t>
            </w:r>
          </w:p>
        </w:tc>
        <w:tc>
          <w:tcPr>
            <w:tcW w:type="dxa" w:w="1325"/>
          </w:tcPr>
          <w:p>
            <w:pPr>
              <w:spacing w:after="40" w:line="252" w:lineRule="auto"/>
            </w:pPr>
            <w:r/>
            <w:r>
              <w:rPr>
                <w:sz w:val="16"/>
              </w:rPr>
              <w:t>Boundary stated before any advice can be misapplied.</w:t>
            </w:r>
          </w:p>
        </w:tc>
        <w:tc>
          <w:tcPr>
            <w:tcW w:type="dxa" w:w="1512"/>
          </w:tcPr>
          <w:p>
            <w:pPr>
              <w:spacing w:after="40" w:line="252" w:lineRule="auto"/>
            </w:pPr>
            <w:r/>
            <w:r>
              <w:rPr>
                <w:sz w:val="16"/>
              </w:rPr>
              <w:t>—</w:t>
            </w:r>
          </w:p>
        </w:tc>
        <w:tc>
          <w:tcPr>
            <w:tcW w:type="dxa" w:w="1584"/>
          </w:tcPr>
          <w:p>
            <w:pPr>
              <w:spacing w:after="40" w:line="252" w:lineRule="auto"/>
            </w:pPr>
            <w:r/>
            <w:r>
              <w:rPr>
                <w:sz w:val="16"/>
              </w:rPr>
              <w:t>Plain and humane, on camera, with captions. No red alarm graphic, no fine print, no cutaway.</w:t>
            </w:r>
          </w:p>
        </w:tc>
        <w:tc>
          <w:tcPr>
            <w:tcW w:type="dxa" w:w="1325"/>
          </w:tcPr>
          <w:p>
            <w:pPr>
              <w:spacing w:after="40" w:line="252" w:lineRule="auto"/>
            </w:pPr>
            <w:r/>
            <w:r>
              <w:rPr>
                <w:sz w:val="16"/>
              </w:rPr>
              <w:t>She gives up the advice rather than risk harm.</w:t>
            </w:r>
          </w:p>
        </w:tc>
        <w:tc>
          <w:tcPr>
            <w:tcW w:type="dxa" w:w="1397"/>
          </w:tcPr>
          <w:p>
            <w:pPr>
              <w:spacing w:after="40" w:line="252" w:lineRule="auto"/>
            </w:pPr>
            <w:r/>
            <w:r>
              <w:rPr>
                <w:sz w:val="16"/>
              </w:rPr>
              <w:t>The viewer knows immediately whether the video applies to them.</w:t>
            </w:r>
          </w:p>
        </w:tc>
      </w:tr>
    </w:tbl>
    <w:p>
      <w:pPr>
        <w:spacing w:before="60" w:after="30" w:line="250" w:lineRule="auto"/>
        <w:keepLines w:val="1"/>
      </w:pPr>
      <w:r>
        <w:rPr>
          <w:b/>
          <w:i w:val="0"/>
          <w:color w:val="0F2346"/>
          <w:sz w:val="21"/>
        </w:rPr>
        <w:t>Hook layers for the long-form:</w:t>
      </w:r>
    </w:p>
    <w:p>
      <w:pPr>
        <w:spacing w:before="0" w:after="24" w:line="250" w:lineRule="auto"/>
        <w:keepLines w:val="1"/>
      </w:pPr>
      <w:r>
        <w:rPr>
          <w:b w:val="0"/>
          <w:i w:val="0"/>
          <w:sz w:val="21"/>
        </w:rPr>
        <w:t>Verbal hook:       If you’re going to quit your job, don’t wait until after you leave to work out what your work actually built in you.</w:t>
      </w:r>
    </w:p>
    <w:p>
      <w:pPr>
        <w:spacing w:before="0" w:after="24" w:line="250" w:lineRule="auto"/>
        <w:keepLines w:val="1"/>
      </w:pPr>
      <w:r>
        <w:rPr>
          <w:b w:val="0"/>
          <w:i w:val="0"/>
          <w:sz w:val="21"/>
        </w:rPr>
        <w:t>On-screen hook:    WAIT BEFORE YOU QUIT</w:t>
      </w:r>
    </w:p>
    <w:p>
      <w:pPr>
        <w:spacing w:before="0" w:after="24" w:line="250" w:lineRule="auto"/>
        <w:keepLines w:val="1"/>
      </w:pPr>
      <w:r>
        <w:rPr>
          <w:b w:val="0"/>
          <w:i w:val="0"/>
          <w:sz w:val="21"/>
        </w:rPr>
        <w:t>Visual / editor:   Direct to camera, then the three-loss line, then the three checks.</w:t>
      </w:r>
    </w:p>
    <w:p>
      <w:pPr>
        <w:spacing w:before="0" w:after="24" w:line="250" w:lineRule="auto"/>
        <w:keepLines w:val="1"/>
      </w:pPr>
      <w:r>
        <w:rPr>
          <w:b w:val="0"/>
          <w:i w:val="0"/>
          <w:sz w:val="21"/>
        </w:rPr>
        <w:t>Trust beat:        Temidayo's work inside documented performance and talent systems.</w:t>
      </w:r>
    </w:p>
    <w:p>
      <w:pPr>
        <w:spacing w:before="0" w:after="24" w:line="250" w:lineRule="auto"/>
        <w:keepLines w:val="1"/>
      </w:pPr>
      <w:r>
        <w:rPr>
          <w:b w:val="0"/>
          <w:i w:val="0"/>
          <w:sz w:val="21"/>
        </w:rPr>
        <w:t>Viewer payoff:     Three checks to run before resigning, promised by 0:25.</w:t>
      </w:r>
    </w:p>
    <w:p>
      <w:pPr>
        <w:spacing w:before="84" w:after="48" w:line="250" w:lineRule="auto"/>
        <w:keepLines w:val="1"/>
        <w:keepNext w:val="1"/>
      </w:pPr>
      <w:r>
        <w:rPr>
          <w:b/>
          <w:i w:val="0"/>
          <w:color w:val="0F2346"/>
          <w:sz w:val="28"/>
        </w:rPr>
        <w:t>4.  Slide marker → actual slide number</w:t>
      </w:r>
    </w:p>
    <w:p>
      <w:pPr>
        <w:spacing w:before="0" w:after="48" w:line="250" w:lineRule="auto"/>
      </w:pPr>
      <w:r>
        <w:rPr>
          <w:b w:val="0"/>
          <w:i w:val="0"/>
          <w:sz w:val="22"/>
        </w:rPr>
        <w:t>The teleprompter carries thirteen slide markers. They map to the existing thirteen-slide deck in order, marker 1 to slide 1 through marker 13 to slide 13. Do not add, delete, redesign or reorder slides.</w:t>
      </w:r>
    </w:p>
    <w:p>
      <w:pPr>
        <w:spacing w:before="0" w:after="18" w:line="250" w:lineRule="auto"/>
        <w:keepLines w:val="1"/>
      </w:pPr>
      <w:r>
        <w:rPr>
          <w:b w:val="0"/>
          <w:i w:val="0"/>
          <w:sz w:val="21"/>
        </w:rPr>
        <w:t>Marker 1   →  Slide 1   Title</w:t>
      </w:r>
    </w:p>
    <w:p>
      <w:pPr>
        <w:spacing w:before="0" w:after="18" w:line="250" w:lineRule="auto"/>
        <w:keepLines w:val="1"/>
      </w:pPr>
      <w:r>
        <w:rPr>
          <w:b w:val="0"/>
          <w:i w:val="0"/>
          <w:sz w:val="21"/>
        </w:rPr>
        <w:t>Marker 2   →  Slide 2   Once You Leave, Access Changes</w:t>
      </w:r>
    </w:p>
    <w:p>
      <w:pPr>
        <w:spacing w:before="0" w:after="18" w:line="250" w:lineRule="auto"/>
        <w:keepLines w:val="1"/>
      </w:pPr>
      <w:r>
        <w:rPr>
          <w:b w:val="0"/>
          <w:i w:val="0"/>
          <w:sz w:val="21"/>
        </w:rPr>
        <w:t>Marker 3   →  Slide 3   01 Preserve the Evidence</w:t>
      </w:r>
    </w:p>
    <w:p>
      <w:pPr>
        <w:spacing w:before="0" w:after="18" w:line="250" w:lineRule="auto"/>
        <w:keepLines w:val="1"/>
      </w:pPr>
      <w:r>
        <w:rPr>
          <w:b w:val="0"/>
          <w:i w:val="0"/>
          <w:sz w:val="21"/>
        </w:rPr>
        <w:t>Marker 4   →  Slide 4   What to Keep / What Not to Take</w:t>
      </w:r>
    </w:p>
    <w:p>
      <w:pPr>
        <w:spacing w:before="0" w:after="18" w:line="250" w:lineRule="auto"/>
        <w:keepLines w:val="1"/>
      </w:pPr>
      <w:r>
        <w:rPr>
          <w:b w:val="0"/>
          <w:i w:val="0"/>
          <w:sz w:val="21"/>
        </w:rPr>
        <w:t>Marker 5   →  Slide 5   02 Name What Your Work Built</w:t>
      </w:r>
    </w:p>
    <w:p>
      <w:pPr>
        <w:spacing w:before="0" w:after="18" w:line="250" w:lineRule="auto"/>
        <w:keepLines w:val="1"/>
      </w:pPr>
      <w:r>
        <w:rPr>
          <w:b w:val="0"/>
          <w:i w:val="0"/>
          <w:sz w:val="21"/>
        </w:rPr>
        <w:t>Marker 6   →  Slide 6   Problem / Constraint / Judgment / Outcome</w:t>
      </w:r>
    </w:p>
    <w:p>
      <w:pPr>
        <w:spacing w:before="0" w:after="18" w:line="250" w:lineRule="auto"/>
        <w:keepLines w:val="1"/>
      </w:pPr>
      <w:r>
        <w:rPr>
          <w:b w:val="0"/>
          <w:i w:val="0"/>
          <w:sz w:val="21"/>
        </w:rPr>
        <w:t>Marker 7   →  Slide 7   03 Test the Next Move</w:t>
      </w:r>
    </w:p>
    <w:p>
      <w:pPr>
        <w:spacing w:before="0" w:after="18" w:line="250" w:lineRule="auto"/>
        <w:keepLines w:val="1"/>
      </w:pPr>
      <w:r>
        <w:rPr>
          <w:b w:val="0"/>
          <w:i w:val="0"/>
          <w:sz w:val="21"/>
        </w:rPr>
        <w:t>Marker 8   →  Slide 8   Uses Something Proven / Builds Something New</w:t>
      </w:r>
    </w:p>
    <w:p>
      <w:pPr>
        <w:spacing w:before="0" w:after="18" w:line="250" w:lineRule="auto"/>
        <w:keepLines w:val="1"/>
      </w:pPr>
      <w:r>
        <w:rPr>
          <w:b w:val="0"/>
          <w:i w:val="0"/>
          <w:sz w:val="21"/>
        </w:rPr>
        <w:t>Marker 9   →  Slide 9   The Three Checks</w:t>
      </w:r>
    </w:p>
    <w:p>
      <w:pPr>
        <w:spacing w:before="0" w:after="18" w:line="250" w:lineRule="auto"/>
        <w:keepLines w:val="1"/>
      </w:pPr>
      <w:r>
        <w:rPr>
          <w:b w:val="0"/>
          <w:i w:val="0"/>
          <w:sz w:val="21"/>
        </w:rPr>
        <w:t>Marker 10  →  Slide 10  Decision Reading</w:t>
      </w:r>
    </w:p>
    <w:p>
      <w:pPr>
        <w:spacing w:before="0" w:after="18" w:line="250" w:lineRule="auto"/>
        <w:keepLines w:val="1"/>
      </w:pPr>
      <w:r>
        <w:rPr>
          <w:b w:val="0"/>
          <w:i w:val="0"/>
          <w:sz w:val="21"/>
        </w:rPr>
        <w:t>Marker 11  →  Slide 11  Before You Resign</w:t>
      </w:r>
    </w:p>
    <w:p>
      <w:pPr>
        <w:spacing w:before="0" w:after="18" w:line="250" w:lineRule="auto"/>
        <w:keepLines w:val="1"/>
      </w:pPr>
      <w:r>
        <w:rPr>
          <w:b w:val="0"/>
          <w:i w:val="0"/>
          <w:sz w:val="21"/>
        </w:rPr>
        <w:t>Marker 12  →  Slide 12  Career Decision Evidence Check</w:t>
      </w:r>
    </w:p>
    <w:p>
      <w:pPr>
        <w:spacing w:before="0" w:after="18" w:line="250" w:lineRule="auto"/>
        <w:keepLines w:val="1"/>
      </w:pPr>
      <w:r>
        <w:rPr>
          <w:b w:val="0"/>
          <w:i w:val="0"/>
          <w:sz w:val="21"/>
        </w:rPr>
        <w:t>Marker 13  →  Slide 13  Watch Next</w:t>
      </w:r>
    </w:p>
    <w:p>
      <w:pPr>
        <w:spacing w:before="84" w:after="48" w:line="250" w:lineRule="auto"/>
        <w:keepLines w:val="1"/>
        <w:keepNext w:val="1"/>
      </w:pPr>
      <w:r>
        <w:rPr>
          <w:b/>
          <w:i w:val="0"/>
          <w:color w:val="0F2346"/>
          <w:sz w:val="28"/>
        </w:rPr>
        <w:t>5.  Existing reveal-frame map</w:t>
      </w:r>
    </w:p>
    <w:p>
      <w:pPr>
        <w:spacing w:before="0" w:after="48" w:line="250" w:lineRule="auto"/>
      </w:pPr>
      <w:r>
        <w:rPr>
          <w:b w:val="0"/>
          <w:i w:val="0"/>
          <w:sz w:val="22"/>
        </w:rPr>
        <w:t>The reveal-build deck contains 27 frames. This is the inspected count from the actual file. Reveal visuals are unchanged.</w:t>
      </w:r>
    </w:p>
    <w:p>
      <w:pPr>
        <w:spacing w:before="0" w:after="18" w:line="250" w:lineRule="auto"/>
        <w:keepLines w:val="1"/>
      </w:pPr>
      <w:r>
        <w:rPr>
          <w:b w:val="0"/>
          <w:i w:val="0"/>
          <w:sz w:val="21"/>
        </w:rPr>
        <w:t>Slide 1   →  reveal frames 1        (1)</w:t>
      </w:r>
    </w:p>
    <w:p>
      <w:pPr>
        <w:spacing w:before="0" w:after="18" w:line="250" w:lineRule="auto"/>
        <w:keepLines w:val="1"/>
      </w:pPr>
      <w:r>
        <w:rPr>
          <w:b w:val="0"/>
          <w:i w:val="0"/>
          <w:sz w:val="21"/>
        </w:rPr>
        <w:t>Slide 2   →  reveal frames 2        (1)</w:t>
      </w:r>
    </w:p>
    <w:p>
      <w:pPr>
        <w:spacing w:before="0" w:after="18" w:line="250" w:lineRule="auto"/>
        <w:keepLines w:val="1"/>
      </w:pPr>
      <w:r>
        <w:rPr>
          <w:b w:val="0"/>
          <w:i w:val="0"/>
          <w:sz w:val="21"/>
        </w:rPr>
        <w:t>Slide 3   →  reveal frames 3        (1)</w:t>
      </w:r>
    </w:p>
    <w:p>
      <w:pPr>
        <w:spacing w:before="0" w:after="18" w:line="250" w:lineRule="auto"/>
        <w:keepLines w:val="1"/>
      </w:pPr>
      <w:r>
        <w:rPr>
          <w:b w:val="0"/>
          <w:i w:val="0"/>
          <w:sz w:val="21"/>
        </w:rPr>
        <w:t>Slide 4   →  reveal frames 4–7      (4)</w:t>
      </w:r>
    </w:p>
    <w:p>
      <w:pPr>
        <w:spacing w:before="0" w:after="18" w:line="250" w:lineRule="auto"/>
        <w:keepLines w:val="1"/>
      </w:pPr>
      <w:r>
        <w:rPr>
          <w:b w:val="0"/>
          <w:i w:val="0"/>
          <w:sz w:val="21"/>
        </w:rPr>
        <w:t>Slide 5   →  reveal frames 8        (1)</w:t>
      </w:r>
    </w:p>
    <w:p>
      <w:pPr>
        <w:spacing w:before="0" w:after="18" w:line="250" w:lineRule="auto"/>
        <w:keepLines w:val="1"/>
      </w:pPr>
      <w:r>
        <w:rPr>
          <w:b w:val="0"/>
          <w:i w:val="0"/>
          <w:sz w:val="21"/>
        </w:rPr>
        <w:t>Slide 6   →  reveal frames 9–13     (5)</w:t>
      </w:r>
    </w:p>
    <w:p>
      <w:pPr>
        <w:spacing w:before="0" w:after="18" w:line="250" w:lineRule="auto"/>
        <w:keepLines w:val="1"/>
      </w:pPr>
      <w:r>
        <w:rPr>
          <w:b w:val="0"/>
          <w:i w:val="0"/>
          <w:sz w:val="21"/>
        </w:rPr>
        <w:t>Slide 7   →  reveal frames 14       (1)</w:t>
      </w:r>
    </w:p>
    <w:p>
      <w:pPr>
        <w:spacing w:before="0" w:after="18" w:line="250" w:lineRule="auto"/>
        <w:keepLines w:val="1"/>
      </w:pPr>
      <w:r>
        <w:rPr>
          <w:b w:val="0"/>
          <w:i w:val="0"/>
          <w:sz w:val="21"/>
        </w:rPr>
        <w:t>Slide 8   →  reveal frames 15–18    (4)</w:t>
      </w:r>
    </w:p>
    <w:p>
      <w:pPr>
        <w:spacing w:before="0" w:after="18" w:line="250" w:lineRule="auto"/>
        <w:keepLines w:val="1"/>
      </w:pPr>
      <w:r>
        <w:rPr>
          <w:b w:val="0"/>
          <w:i w:val="0"/>
          <w:sz w:val="21"/>
        </w:rPr>
        <w:t>Slide 9   →  reveal frames 19       (1)</w:t>
      </w:r>
    </w:p>
    <w:p>
      <w:pPr>
        <w:spacing w:before="0" w:after="18" w:line="250" w:lineRule="auto"/>
        <w:keepLines w:val="1"/>
      </w:pPr>
      <w:r>
        <w:rPr>
          <w:b w:val="0"/>
          <w:i w:val="0"/>
          <w:sz w:val="21"/>
        </w:rPr>
        <w:t>Slide 10  →  reveal frames 20–22    (3)</w:t>
      </w:r>
    </w:p>
    <w:p>
      <w:pPr>
        <w:spacing w:before="0" w:after="18" w:line="250" w:lineRule="auto"/>
        <w:keepLines w:val="1"/>
      </w:pPr>
      <w:r>
        <w:rPr>
          <w:b w:val="0"/>
          <w:i w:val="0"/>
          <w:sz w:val="21"/>
        </w:rPr>
        <w:t>Slide 11  →  reveal frames 23–25    (3)</w:t>
      </w:r>
    </w:p>
    <w:p>
      <w:pPr>
        <w:spacing w:before="0" w:after="18" w:line="250" w:lineRule="auto"/>
        <w:keepLines w:val="1"/>
      </w:pPr>
      <w:r>
        <w:rPr>
          <w:b w:val="0"/>
          <w:i w:val="0"/>
          <w:sz w:val="21"/>
        </w:rPr>
        <w:t>Slide 12  →  reveal frames 26       (1)</w:t>
      </w:r>
    </w:p>
    <w:p>
      <w:pPr>
        <w:spacing w:before="0" w:after="18" w:line="250" w:lineRule="auto"/>
        <w:keepLines w:val="1"/>
      </w:pPr>
      <w:r>
        <w:rPr>
          <w:b w:val="0"/>
          <w:i w:val="0"/>
          <w:sz w:val="21"/>
        </w:rPr>
        <w:t>Slide 13  →  reveal frames 27       (1)</w:t>
      </w:r>
    </w:p>
    <w:p>
      <w:pPr>
        <w:spacing w:before="84" w:after="48" w:line="250" w:lineRule="auto"/>
        <w:keepLines w:val="1"/>
        <w:keepNext w:val="1"/>
      </w:pPr>
      <w:r>
        <w:rPr>
          <w:b/>
          <w:i w:val="0"/>
          <w:color w:val="0F2346"/>
          <w:sz w:val="28"/>
        </w:rPr>
        <w:t>6.  Overlay principle</w:t>
      </w:r>
    </w:p>
    <w:p>
      <w:pPr>
        <w:spacing w:before="0" w:after="48" w:line="250" w:lineRule="auto"/>
      </w:pPr>
      <w:r>
        <w:rPr>
          <w:b w:val="0"/>
          <w:i w:val="0"/>
          <w:sz w:val="22"/>
        </w:rPr>
        <w:t>When a visual can prove information more efficiently than Temidayo speaking it, let the visual carry it. Do not add spoken wording to duplicate slide copy, and do not add slide copy to duplicate her.</w:t>
      </w:r>
    </w:p>
    <w:p>
      <w:pPr>
        <w:spacing w:before="84" w:after="48" w:line="250" w:lineRule="auto"/>
        <w:keepLines w:val="1"/>
        <w:keepNext w:val="1"/>
      </w:pPr>
      <w:r>
        <w:rPr>
          <w:b/>
          <w:i w:val="0"/>
          <w:color w:val="0F2346"/>
          <w:sz w:val="28"/>
        </w:rPr>
        <w:t>7.  Safety and factual boundaries</w:t>
      </w:r>
    </w:p>
    <w:p>
      <w:pPr>
        <w:spacing w:before="0" w:after="48" w:line="250" w:lineRule="auto"/>
        <w:shd w:val="clear" w:fill="F3F0E8"/>
        <w:keepLines w:val="1"/>
      </w:pPr>
      <w:r>
        <w:rPr>
          <w:b/>
          <w:i w:val="0"/>
          <w:color w:val="9B2C10"/>
          <w:sz w:val="22"/>
        </w:rPr>
        <w:t>SAFETY BOUNDARY — EXACT MEANING, EXACT PROMINENCE. If the viewer's health or safety is at risk, or they are dealing with harassment, discrimination or another urgent threat, nothing in this video is a reason to delay leaving. It appears in the opening, in full on slide 2, again in the decision reading and again in the pinned comment. Do not soften it, shorten it, move it later or cut any instance.</w:t>
      </w:r>
    </w:p>
    <w:p>
      <w:pPr>
        <w:spacing w:before="0" w:after="48" w:line="250" w:lineRule="auto"/>
        <w:keepLines w:val="1"/>
      </w:pPr>
      <w:r>
        <w:rPr>
          <w:b/>
          <w:i w:val="0"/>
          <w:sz w:val="22"/>
        </w:rPr>
        <w:t>Deliver it humanely and directly. It is not a legal disclaimer and must not be edited to look like one.</w:t>
      </w:r>
    </w:p>
    <w:p>
      <w:pPr>
        <w:spacing w:before="0" w:after="48" w:line="250" w:lineRule="auto"/>
        <w:shd w:val="clear" w:fill="F3F0E8"/>
        <w:keepLines w:val="1"/>
      </w:pPr>
      <w:r>
        <w:rPr>
          <w:b/>
          <w:i w:val="0"/>
          <w:color w:val="9B2C10"/>
          <w:sz w:val="22"/>
        </w:rPr>
        <w:t>EVIDENCE BOUNDARY. “Preserve” never means taking company material. Confidential information, customer or employee data, proprietary documents and employer-owned material stay with the employer. The rule spoken on screen is: if you do not have the right to keep it, do not take it. Never edit around that line.</w:t>
      </w:r>
    </w:p>
    <w:p>
      <w:pPr>
        <w:spacing w:before="0" w:after="18" w:line="250" w:lineRule="auto"/>
        <w:keepLines w:val="1"/>
      </w:pPr>
      <w:r>
        <w:rPr>
          <w:b w:val="0"/>
          <w:i w:val="0"/>
          <w:sz w:val="22"/>
        </w:rPr>
        <w:t>—  no invented employer, client, metric or result;</w:t>
      </w:r>
    </w:p>
    <w:p>
      <w:pPr>
        <w:spacing w:before="0" w:after="18" w:line="250" w:lineRule="auto"/>
        <w:keepLines w:val="1"/>
      </w:pPr>
      <w:r>
        <w:rPr>
          <w:b w:val="0"/>
          <w:i w:val="0"/>
          <w:sz w:val="22"/>
        </w:rPr>
        <w:t>—  no pressure to stay;        —  no urgency or alarm graphics;</w:t>
      </w:r>
    </w:p>
    <w:p>
      <w:pPr>
        <w:spacing w:before="0" w:after="18" w:line="250" w:lineRule="auto"/>
        <w:keepLines w:val="1"/>
      </w:pPr>
      <w:r>
        <w:rPr>
          <w:b w:val="0"/>
          <w:i w:val="0"/>
          <w:sz w:val="22"/>
        </w:rPr>
        <w:t>—  no direction presented as a diagnosis;</w:t>
      </w:r>
    </w:p>
    <w:p>
      <w:pPr>
        <w:spacing w:before="0" w:after="18" w:line="250" w:lineRule="auto"/>
        <w:keepLines w:val="1"/>
      </w:pPr>
      <w:r>
        <w:rPr>
          <w:b w:val="0"/>
          <w:i w:val="0"/>
          <w:sz w:val="22"/>
        </w:rPr>
        <w:t>—  pay, benefits, caregiving and timing remain legitimate constraints.</w:t>
      </w:r>
    </w:p>
    <w:p>
      <w:pPr>
        <w:spacing w:before="84" w:after="48" w:line="250" w:lineRule="auto"/>
        <w:keepLines w:val="1"/>
        <w:keepNext w:val="1"/>
      </w:pPr>
      <w:r>
        <w:rPr>
          <w:b/>
          <w:i w:val="0"/>
          <w:color w:val="0F2346"/>
          <w:sz w:val="28"/>
        </w:rPr>
        <w:t>8.  CTA and watch next</w:t>
      </w:r>
    </w:p>
    <w:p>
      <w:pPr>
        <w:spacing w:before="0" w:after="30" w:line="250" w:lineRule="auto"/>
        <w:keepLines w:val="1"/>
      </w:pPr>
      <w:r>
        <w:rPr>
          <w:b w:val="0"/>
          <w:i w:val="0"/>
          <w:sz w:val="22"/>
        </w:rPr>
        <w:t>One product CTA only: Career Decision Evidence Check — https://temidayoafonja.com/career-decisions</w:t>
      </w:r>
    </w:p>
    <w:p>
      <w:pPr>
        <w:spacing w:before="0" w:after="36" w:line="250" w:lineRule="auto"/>
        <w:keepLines w:val="1"/>
      </w:pPr>
      <w:r>
        <w:rPr>
          <w:b/>
          <w:i w:val="0"/>
          <w:sz w:val="22"/>
        </w:rPr>
        <w:t>Do not add the Capability Formation Field Kit, Keep the Proof or the Career Evidence Starter.</w:t>
      </w:r>
    </w:p>
    <w:p>
      <w:pPr>
        <w:spacing w:before="0" w:after="48" w:line="250" w:lineRule="auto"/>
        <w:keepLines w:val="1"/>
      </w:pPr>
      <w:r>
        <w:rPr>
          <w:b/>
          <w:i w:val="0"/>
          <w:color w:val="0F2346"/>
          <w:sz w:val="22"/>
        </w:rPr>
        <w:t>CTA production gate: SATISFIED. The page is live. One signed-out production check is still required before Video 3 is uploaded or scheduled: confirm it loads for a visitor who is not signed in and is not holding a preview link.</w:t>
      </w:r>
    </w:p>
    <w:p>
      <w:pPr>
        <w:spacing w:before="0" w:after="30" w:line="250" w:lineRule="auto"/>
        <w:keepLines w:val="1"/>
      </w:pPr>
      <w:r>
        <w:rPr>
          <w:b/>
          <w:i w:val="0"/>
          <w:sz w:val="22"/>
        </w:rPr>
        <w:t>Watch next: How to Change Jobs Without Starting Your Career Over</w:t>
      </w:r>
    </w:p>
    <w:p>
      <w:pPr>
        <w:spacing w:before="0" w:after="48" w:line="250" w:lineRule="auto"/>
        <w:keepLines w:val="1"/>
      </w:pPr>
      <w:r>
        <w:rPr>
          <w:b w:val="0"/>
          <w:i w:val="0"/>
          <w:color w:val="5A6B82"/>
          <w:sz w:val="21"/>
        </w:rPr>
        <w:t>Slide 13 carries the correct Video 1 title, “How to Change Jobs Without Starting Your Career Over”. It was inspected in this pass and matches the spoken route.</w:t>
      </w:r>
    </w:p>
    <w:p>
      <w:pPr>
        <w:spacing w:before="0" w:after="48" w:line="250" w:lineRule="auto"/>
        <w:keepLines w:val="1"/>
      </w:pPr>
      <w:r>
        <w:rPr>
          <w:b/>
          <w:i w:val="0"/>
          <w:color w:val="9B2C10"/>
          <w:sz w:val="22"/>
        </w:rPr>
        <w:t>Do not leave Subscribe as the only end-screen element.</w:t>
      </w:r>
    </w:p>
    <w:p>
      <w:pPr>
        <w:spacing w:before="84" w:after="48" w:line="250" w:lineRule="auto"/>
        <w:keepLines w:val="1"/>
        <w:keepNext w:val="1"/>
      </w:pPr>
      <w:r>
        <w:rPr>
          <w:b/>
          <w:i w:val="0"/>
          <w:color w:val="0F2346"/>
          <w:sz w:val="28"/>
        </w:rPr>
        <w:t>9.  Editing rhythm after 0:30</w:t>
      </w:r>
    </w:p>
    <w:p>
      <w:pPr>
        <w:spacing w:before="0" w:after="48" w:line="250" w:lineRule="auto"/>
      </w:pPr>
      <w:r>
        <w:rPr>
          <w:b w:val="0"/>
          <w:i w:val="0"/>
          <w:sz w:val="22"/>
        </w:rPr>
        <w:t>The opening is intentionally more visually active than the rest of the video. Do NOT read H.I.T. as permission to keep that density running. Once the viewer is inside the teaching, the edit should feel premium, calm and editorial.</w:t>
      </w:r>
    </w:p>
    <w:p>
      <w:pPr>
        <w:spacing w:before="0" w:after="18" w:line="250" w:lineRule="auto"/>
        <w:keepLines w:val="1"/>
      </w:pPr>
      <w:r>
        <w:rPr>
          <w:b w:val="0"/>
          <w:i w:val="0"/>
          <w:sz w:val="22"/>
        </w:rPr>
        <w:t>—  preserve Temidayo's natural pacing;        —  use the slides as support;</w:t>
      </w:r>
    </w:p>
    <w:p>
      <w:pPr>
        <w:spacing w:before="0" w:after="18" w:line="250" w:lineRule="auto"/>
        <w:keepLines w:val="1"/>
      </w:pPr>
      <w:r>
        <w:rPr>
          <w:b w:val="0"/>
          <w:i w:val="0"/>
          <w:sz w:val="22"/>
        </w:rPr>
        <w:t>—  avoid decorative motion;        —  avoid constant punch-ins;</w:t>
      </w:r>
    </w:p>
    <w:p>
      <w:pPr>
        <w:spacing w:before="0" w:after="18" w:line="250" w:lineRule="auto"/>
        <w:keepLines w:val="1"/>
      </w:pPr>
      <w:r>
        <w:rPr>
          <w:b w:val="0"/>
          <w:i w:val="0"/>
          <w:sz w:val="22"/>
        </w:rPr>
        <w:t>—  avoid stock office footage;        —  avoid generic résumé B-roll;</w:t>
      </w:r>
    </w:p>
    <w:p>
      <w:pPr>
        <w:spacing w:before="0" w:after="18" w:line="250" w:lineRule="auto"/>
        <w:keepLines w:val="1"/>
      </w:pPr>
      <w:r>
        <w:rPr>
          <w:b w:val="0"/>
          <w:i w:val="0"/>
          <w:sz w:val="22"/>
        </w:rPr>
        <w:t>—  avoid red warning graphics;        —  avoid fake urgency;</w:t>
      </w:r>
    </w:p>
    <w:p>
      <w:pPr>
        <w:spacing w:before="0" w:after="18" w:line="250" w:lineRule="auto"/>
        <w:keepLines w:val="1"/>
      </w:pPr>
      <w:r>
        <w:rPr>
          <w:b w:val="0"/>
          <w:i w:val="0"/>
          <w:sz w:val="22"/>
        </w:rPr>
        <w:t>—  avoid flashy transitions.</w:t>
      </w:r>
    </w:p>
    <w:p>
      <w:pPr>
        <w:spacing w:before="84" w:after="48" w:line="250" w:lineRule="auto"/>
        <w:keepLines w:val="1"/>
        <w:keepNext w:val="1"/>
      </w:pPr>
      <w:r>
        <w:rPr>
          <w:b/>
          <w:i w:val="0"/>
          <w:color w:val="0F2346"/>
          <w:sz w:val="28"/>
        </w:rPr>
        <w:t>10.  Visual “do not use” list</w:t>
      </w:r>
    </w:p>
    <w:p>
      <w:pPr>
        <w:spacing w:before="0" w:after="18" w:line="250" w:lineRule="auto"/>
        <w:keepLines w:val="1"/>
      </w:pPr>
      <w:r>
        <w:rPr>
          <w:b w:val="0"/>
          <w:i w:val="0"/>
          <w:sz w:val="22"/>
        </w:rPr>
        <w:t>—  stock office B-roll;        —  generic résumé graphics;</w:t>
      </w:r>
    </w:p>
    <w:p>
      <w:pPr>
        <w:spacing w:before="0" w:after="18" w:line="250" w:lineRule="auto"/>
        <w:keepLines w:val="1"/>
      </w:pPr>
      <w:r>
        <w:rPr>
          <w:b w:val="0"/>
          <w:i w:val="0"/>
          <w:sz w:val="22"/>
        </w:rPr>
        <w:t>—  employer logos;        —  red warning graphics;</w:t>
      </w:r>
    </w:p>
    <w:p>
      <w:pPr>
        <w:spacing w:before="0" w:after="18" w:line="250" w:lineRule="auto"/>
        <w:keepLines w:val="1"/>
      </w:pPr>
      <w:r>
        <w:rPr>
          <w:b w:val="0"/>
          <w:i w:val="0"/>
          <w:sz w:val="22"/>
        </w:rPr>
        <w:t>—  fake shock expressions;        —  countdown or alarm motifs;</w:t>
      </w:r>
    </w:p>
    <w:p>
      <w:pPr>
        <w:spacing w:before="0" w:after="18" w:line="250" w:lineRule="auto"/>
        <w:keepLines w:val="1"/>
      </w:pPr>
      <w:r>
        <w:rPr>
          <w:b w:val="0"/>
          <w:i w:val="0"/>
          <w:sz w:val="22"/>
        </w:rPr>
        <w:t>—  constant zooms;        —  AI-generated scenery;</w:t>
      </w:r>
    </w:p>
    <w:p>
      <w:pPr>
        <w:spacing w:before="0" w:after="18" w:line="250" w:lineRule="auto"/>
        <w:keepLines w:val="1"/>
      </w:pPr>
      <w:r>
        <w:rPr>
          <w:b w:val="0"/>
          <w:i w:val="0"/>
          <w:sz w:val="22"/>
        </w:rPr>
        <w:t>—  social-media template effects.</w:t>
      </w:r>
    </w:p>
    <w:p>
      <w:pPr>
        <w:spacing w:before="84" w:after="48" w:line="250" w:lineRule="auto"/>
        <w:keepLines w:val="1"/>
        <w:keepNext w:val="1"/>
      </w:pPr>
      <w:r>
        <w:rPr>
          <w:b/>
          <w:i w:val="0"/>
          <w:color w:val="0F2346"/>
          <w:sz w:val="28"/>
        </w:rPr>
        <w:t>11.  Speaker-note update record</w:t>
      </w:r>
    </w:p>
    <w:p>
      <w:pPr>
        <w:spacing w:before="0" w:after="48" w:line="250" w:lineRule="auto"/>
      </w:pPr>
      <w:r>
        <w:rPr>
          <w:b w:val="0"/>
          <w:i w:val="0"/>
          <w:sz w:val="22"/>
        </w:rPr>
        <w:t>Both decks ship with speaker notes rewritten for the v3.0 direct-address script. Nothing on any slide was changed.</w:t>
      </w:r>
    </w:p>
    <w:p>
      <w:pPr>
        <w:spacing w:before="0" w:after="18" w:line="250" w:lineRule="auto"/>
        <w:keepLines w:val="1"/>
      </w:pPr>
      <w:r>
        <w:rPr>
          <w:b w:val="0"/>
          <w:i w:val="0"/>
          <w:sz w:val="22"/>
        </w:rPr>
        <w:t>—  Main deck: 13 notes parts rewritten, one per slide.</w:t>
      </w:r>
    </w:p>
    <w:p>
      <w:pPr>
        <w:spacing w:before="0" w:after="18" w:line="250" w:lineRule="auto"/>
        <w:keepLines w:val="1"/>
      </w:pPr>
      <w:r>
        <w:rPr>
          <w:b w:val="0"/>
          <w:i w:val="0"/>
          <w:sz w:val="22"/>
        </w:rPr>
        <w:t>—  Reveal deck: 27 notes parts rewritten, one per frame.</w:t>
      </w:r>
    </w:p>
    <w:p>
      <w:pPr>
        <w:spacing w:before="0" w:after="18" w:line="250" w:lineRule="auto"/>
        <w:keepLines w:val="1"/>
      </w:pPr>
      <w:r>
        <w:rPr>
          <w:b w:val="0"/>
          <w:i w:val="0"/>
          <w:sz w:val="22"/>
        </w:rPr>
        <w:t>—  Slide XML, geometry, typography, palette and media: unchanged.</w:t>
      </w:r>
    </w:p>
    <w:p>
      <w:pPr>
        <w:spacing w:before="0" w:after="18" w:line="250" w:lineRule="auto"/>
        <w:keepLines w:val="1"/>
      </w:pPr>
      <w:r>
        <w:rPr>
          <w:b w:val="0"/>
          <w:i w:val="0"/>
          <w:sz w:val="22"/>
        </w:rPr>
        <w:t>—  Timings are script-derived working estimates at 145 words per minute for the 1,251-word script. Replace them from the finished cut.</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