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4  ·  v4.0</w:t>
      </w:r>
    </w:p>
    <w:p>
      <w:pPr>
        <w:spacing w:before="0" w:after="36" w:line="250" w:lineRule="auto"/>
      </w:pPr>
      <w:r>
        <w:rPr>
          <w:b/>
          <w:i w:val="0"/>
          <w:color w:val="0F2346"/>
          <w:sz w:val="40"/>
        </w:rPr>
        <w:t>How to Explain Your Career Change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How to Explain Your Career Change</w:t>
      </w:r>
    </w:p>
    <w:p>
      <w:pPr>
        <w:spacing w:before="0" w:after="30" w:line="250" w:lineRule="auto"/>
        <w:keepLines w:val="1"/>
      </w:pPr>
      <w:r>
        <w:rPr>
          <w:b w:val="0"/>
          <w:i w:val="0"/>
          <w:sz w:val="22"/>
        </w:rPr>
        <w:t>Thumbnail:               YOUR CAREER MAKES SENSE</w:t>
      </w:r>
    </w:p>
    <w:p>
      <w:pPr>
        <w:spacing w:before="0" w:after="30" w:line="250" w:lineRule="auto"/>
        <w:keepLines w:val="1"/>
      </w:pPr>
      <w:r>
        <w:rPr>
          <w:b w:val="0"/>
          <w:i w:val="0"/>
          <w:sz w:val="22"/>
        </w:rPr>
        <w:t>Primary search phrase:   how to explain your career change</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Should I Make an Internal Move? 3 Questions to Decide</w:t>
      </w:r>
    </w:p>
    <w:p>
      <w:pPr>
        <w:spacing w:before="0" w:after="30" w:line="250" w:lineRule="auto"/>
        <w:keepLines w:val="1"/>
      </w:pPr>
      <w:r>
        <w:rPr>
          <w:b w:val="0"/>
          <w:i w:val="0"/>
          <w:sz w:val="22"/>
        </w:rPr>
        <w:t>Strategic job:           Searchable problem + personal evidence</w:t>
      </w:r>
    </w:p>
    <w:p>
      <w:pPr>
        <w:spacing w:before="0" w:after="30" w:line="250" w:lineRule="auto"/>
        <w:keepLines w:val="1"/>
      </w:pPr>
      <w:r>
        <w:rPr>
          <w:b w:val="0"/>
          <w:i w:val="0"/>
          <w:sz w:val="22"/>
        </w:rPr>
        <w:t>Core distinction:        CHRONOLOGY tells where you have been. A PORTABILITY EXPLANATION shows what travelled.</w:t>
      </w:r>
    </w:p>
    <w:p>
      <w:pPr>
        <w:spacing w:before="0" w:after="30" w:line="250" w:lineRule="auto"/>
        <w:keepLines w:val="1"/>
      </w:pPr>
      <w:r>
        <w:rPr>
          <w:b w:val="0"/>
          <w:i w:val="0"/>
          <w:sz w:val="22"/>
        </w:rPr>
        <w:t>Memory device:           The three-sentence career explanation. No acronym, no second framework.</w:t>
      </w:r>
    </w:p>
    <w:p>
      <w:pPr>
        <w:spacing w:before="0" w:after="48" w:line="250" w:lineRule="auto"/>
        <w:keepLines w:val="1"/>
      </w:pPr>
      <w:r>
        <w:rPr>
          <w:b/>
          <w:i w:val="0"/>
          <w:color w:val="9B2C10"/>
          <w:sz w:val="22"/>
        </w:rPr>
        <w:t>Do not restore Keep the Proof as the CTA. Do not add the Capability Formation Field Kit, CAR, the Career Evidence 3 Cs or any second framework to this video.</w:t>
      </w:r>
    </w:p>
    <w:p>
      <w:pPr>
        <w:spacing w:before="84" w:after="48" w:line="250" w:lineRule="auto"/>
        <w:keepLines w:val="1"/>
        <w:keepNext w:val="1"/>
      </w:pPr>
      <w:r>
        <w:rPr>
          <w:b/>
          <w:i w:val="0"/>
          <w:color w:val="0F2346"/>
          <w:sz w:val="28"/>
        </w:rPr>
        <w:t>2.  Direct address is part of the creative</w:t>
      </w:r>
    </w:p>
    <w:p>
      <w:pPr>
        <w:spacing w:before="0" w:after="48" w:line="250" w:lineRule="auto"/>
        <w:shd w:val="clear" w:fill="F3F0E8"/>
        <w:keepLines w:val="1"/>
      </w:pPr>
      <w:r>
        <w:rPr>
          <w:b/>
          <w:i w:val="0"/>
          <w:color w:val="0F2346"/>
          <w:sz w:val="22"/>
        </w:rPr>
        <w:t>Temidayo is speaking to ONE experienced professional sitting across from her. Not a crowd, not a conference room, not an abstract audience.</w:t>
      </w:r>
    </w:p>
    <w:p>
      <w:pPr>
        <w:spacing w:before="60" w:after="30" w:line="250" w:lineRule="auto"/>
        <w:keepLines w:val="1"/>
        <w:keepNext w:val="1"/>
      </w:pPr>
      <w:r>
        <w:rPr>
          <w:b/>
          <w:i w:val="0"/>
          <w:color w:val="0F2346"/>
          <w:sz w:val="23"/>
        </w:rPr>
        <w:t>Editing should support that relationship</w:t>
      </w:r>
    </w:p>
    <w:p>
      <w:pPr>
        <w:spacing w:before="0" w:after="18" w:line="250" w:lineRule="auto"/>
        <w:keepLines w:val="1"/>
      </w:pPr>
      <w:r>
        <w:rPr>
          <w:b w:val="0"/>
          <w:i w:val="0"/>
          <w:sz w:val="22"/>
        </w:rPr>
        <w:t>—  keep direct questions connected to Temidayo's face where useful;</w:t>
      </w:r>
    </w:p>
    <w:p>
      <w:pPr>
        <w:spacing w:before="0" w:after="18" w:line="250" w:lineRule="auto"/>
        <w:keepLines w:val="1"/>
      </w:pPr>
      <w:r>
        <w:rPr>
          <w:b w:val="0"/>
          <w:i w:val="0"/>
          <w:sz w:val="22"/>
        </w:rPr>
        <w:t>—  avoid making this feel like a keynote;</w:t>
      </w:r>
    </w:p>
    <w:p>
      <w:pPr>
        <w:spacing w:before="0" w:after="18" w:line="250" w:lineRule="auto"/>
        <w:keepLines w:val="1"/>
      </w:pPr>
      <w:r>
        <w:rPr>
          <w:b w:val="0"/>
          <w:i w:val="0"/>
          <w:sz w:val="22"/>
        </w:rPr>
        <w:t>—  avoid overusing quote cards;        —  let the slides carry structure;</w:t>
      </w:r>
    </w:p>
    <w:p>
      <w:pPr>
        <w:spacing w:before="0" w:after="18" w:line="250" w:lineRule="auto"/>
        <w:keepLines w:val="1"/>
      </w:pPr>
      <w:r>
        <w:rPr>
          <w:b w:val="0"/>
          <w:i w:val="0"/>
          <w:sz w:val="22"/>
        </w:rPr>
        <w:t>—  let Temidayo carry relationship, interpretation and trust;</w:t>
      </w:r>
    </w:p>
    <w:p>
      <w:pPr>
        <w:spacing w:before="0" w:after="18" w:line="250" w:lineRule="auto"/>
        <w:keepLines w:val="1"/>
      </w:pPr>
      <w:r>
        <w:rPr>
          <w:b w:val="0"/>
          <w:i w:val="0"/>
          <w:sz w:val="22"/>
        </w:rPr>
        <w:t>—  preserve the pauses around direct questions;</w:t>
      </w:r>
    </w:p>
    <w:p>
      <w:pPr>
        <w:spacing w:before="0" w:after="18" w:line="250" w:lineRule="auto"/>
        <w:keepLines w:val="1"/>
      </w:pPr>
      <w:r>
        <w:rPr>
          <w:b w:val="0"/>
          <w:i w:val="0"/>
          <w:sz w:val="22"/>
        </w:rPr>
        <w:t>—  avoid generic “career guru” visual language.</w:t>
      </w:r>
    </w:p>
    <w:p>
      <w:pPr>
        <w:spacing w:before="60" w:after="30" w:line="250" w:lineRule="auto"/>
        <w:keepLines w:val="1"/>
        <w:keepNext w:val="1"/>
      </w:pPr>
      <w:r>
        <w:rPr>
          <w:b/>
          <w:i w:val="0"/>
          <w:color w:val="0F2346"/>
          <w:sz w:val="23"/>
        </w:rPr>
        <w:t>Relational beats — do not cut these as filler</w:t>
      </w:r>
    </w:p>
    <w:p>
      <w:pPr>
        <w:spacing w:before="0" w:after="30" w:line="250" w:lineRule="auto"/>
        <w:keepLines w:val="1"/>
      </w:pPr>
      <w:r>
        <w:rPr>
          <w:b w:val="0"/>
          <w:i w:val="0"/>
          <w:sz w:val="21"/>
        </w:rPr>
        <w:t>“So if your career looks disconnected on paper, let me show you how I learned to explain mine.”</w:t>
      </w:r>
    </w:p>
    <w:p>
      <w:pPr>
        <w:spacing w:before="0" w:after="30" w:line="250" w:lineRule="auto"/>
        <w:keepLines w:val="1"/>
      </w:pPr>
      <w:r>
        <w:rPr>
          <w:b w:val="0"/>
          <w:i w:val="0"/>
          <w:sz w:val="21"/>
        </w:rPr>
        <w:t>“There are three parts, and I want to walk you through each one.”</w:t>
      </w:r>
    </w:p>
    <w:p>
      <w:pPr>
        <w:spacing w:before="0" w:after="30" w:line="250" w:lineRule="auto"/>
        <w:keepLines w:val="1"/>
      </w:pPr>
      <w:r>
        <w:rPr>
          <w:b w:val="0"/>
          <w:i w:val="0"/>
          <w:sz w:val="21"/>
        </w:rPr>
        <w:t>“Your first sentence only has one job…”</w:t>
      </w:r>
    </w:p>
    <w:p>
      <w:pPr>
        <w:spacing w:before="0" w:after="30" w:line="250" w:lineRule="auto"/>
        <w:keepLines w:val="1"/>
      </w:pPr>
      <w:r>
        <w:rPr>
          <w:b w:val="0"/>
          <w:i w:val="0"/>
          <w:sz w:val="21"/>
        </w:rPr>
        <w:t>“In the second sentence, I want you to look underneath the titles.”</w:t>
      </w:r>
    </w:p>
    <w:p>
      <w:pPr>
        <w:spacing w:before="0" w:after="30" w:line="250" w:lineRule="auto"/>
        <w:keepLines w:val="1"/>
      </w:pPr>
      <w:r>
        <w:rPr>
          <w:b w:val="0"/>
          <w:i w:val="0"/>
          <w:sz w:val="21"/>
        </w:rPr>
        <w:t>“Now try the same three sentences on your own career.”</w:t>
      </w:r>
    </w:p>
    <w:p>
      <w:pPr>
        <w:spacing w:before="0" w:after="30" w:line="250" w:lineRule="auto"/>
        <w:keepLines w:val="1"/>
      </w:pPr>
      <w:r>
        <w:rPr>
          <w:b w:val="0"/>
          <w:i w:val="0"/>
          <w:sz w:val="21"/>
        </w:rPr>
        <w:t>“There is an honesty test here, and here is what I would not do.”</w:t>
      </w:r>
    </w:p>
    <w:p>
      <w:pPr>
        <w:spacing w:before="0" w:after="48" w:line="250" w:lineRule="auto"/>
        <w:shd w:val="clear" w:fill="F3F0E8"/>
        <w:keepLines w:val="1"/>
      </w:pPr>
      <w:r>
        <w:rPr>
          <w:b/>
          <w:i w:val="0"/>
          <w:color w:val="9B2C10"/>
          <w:sz w:val="22"/>
        </w:rPr>
        <w:t>They are part of the viewer relationship, not padding. Do not trim them for pace, and do not let a graphic cover Temidayo while she says one.</w:t>
      </w:r>
    </w:p>
    <w:p>
      <w:pPr>
        <w:spacing w:before="0" w:after="48" w:line="250" w:lineRule="auto"/>
        <w:keepLines w:val="1"/>
      </w:pPr>
      <w:r>
        <w:rPr>
          <w:b w:val="0"/>
          <w:i w:val="0"/>
          <w:sz w:val="22"/>
        </w:rPr>
        <w:t>Do not reintroduce detached phrasing — “some people”, “professionals often”, “people may”, “a person should”, “employees often”, “workers may”, “many professionals” — anywhere in the edit, the captions or the on-screen text.</w:t>
      </w:r>
    </w:p>
    <w:p>
      <w:pPr>
        <w:spacing w:before="0" w:after="60" w:line="250" w:lineRule="auto"/>
        <w:shd w:val="clear" w:fill="F3F0E8"/>
        <w:keepLines w:val="1"/>
      </w:pPr>
      <w:r>
        <w:rPr>
          <w:b/>
          <w:i w:val="0"/>
          <w:color w:val="0F2346"/>
          <w:sz w:val="22"/>
        </w:rPr>
        <w:t>This video is about explaining yourself to another person, so it should feel the most conversational of the series. Temidayo repeatedly stands in as the listener across the table — “Chronology tells me where you have been”, “I still may not know what you became able to do”. Keep her on camera for those lines; they only work as an exchange.</w:t>
      </w:r>
    </w:p>
    <w:p>
      <w:pPr>
        <w:spacing w:before="84" w:after="48" w:line="250" w:lineRule="auto"/>
        <w:keepLines w:val="1"/>
        <w:keepNext w:val="1"/>
      </w:pPr>
      <w:r>
        <w:rPr>
          <w:b/>
          <w:i w:val="0"/>
          <w:color w:val="0F2346"/>
          <w:sz w:val="28"/>
        </w:rPr>
        <w:t>3.  First 30 seconds — H.I.T. map</w:t>
      </w:r>
    </w:p>
    <w:p>
      <w:pPr>
        <w:spacing w:before="0" w:after="48" w:line="250" w:lineRule="auto"/>
      </w:pPr>
      <w:r>
        <w:rPr>
          <w:b w:val="0"/>
          <w:i w:val="0"/>
          <w:sz w:val="22"/>
        </w:rPr>
        <w:t>H = Hook. I = Interest. T = Trust. The opening must work as one audiovisual unit: immediate conversational hook, meaningful visual interest, relevant lived proof and a clear payoff by 30 seconds. No title card before the promise.</w:t>
      </w:r>
    </w:p>
    <w:p>
      <w:pPr>
        <w:spacing w:before="0" w:after="60" w:line="250" w:lineRule="auto"/>
        <w:shd w:val="clear" w:fill="F3F0E8"/>
        <w:keepLines w:val="1"/>
      </w:pPr>
      <w:r>
        <w:rPr>
          <w:b/>
          <w:i w:val="0"/>
          <w:color w:val="9B2C10"/>
          <w:sz w:val="22"/>
        </w:rPr>
        <w:t>This supersedes the older Video 4 opening and any earlier instruction that kept Temidayo visually static or fully off-camera in the first 30 seconds.</w:t>
      </w:r>
    </w:p>
    <w:p>
      <w:pPr>
        <w:spacing w:before="60" w:after="30" w:line="250" w:lineRule="auto"/>
        <w:keepLines w:val="1"/>
        <w:keepNext w:val="1"/>
      </w:pPr>
      <w:r>
        <w:rPr>
          <w:b/>
          <w:i w:val="0"/>
          <w:color w:val="0F2346"/>
          <w:sz w:val="23"/>
        </w:rPr>
        <w:t>0:00–0:10</w:t>
      </w:r>
    </w:p>
    <w:p>
      <w:pPr>
        <w:spacing w:before="0" w:after="48" w:line="250" w:lineRule="auto"/>
        <w:shd w:val="clear" w:fill="F3F0E8"/>
      </w:pPr>
      <w:r>
        <w:rPr>
          <w:b w:val="0"/>
          <w:i/>
          <w:color w:val="5A6B82"/>
          <w:sz w:val="21"/>
        </w:rPr>
        <w:t>Spoken anchor:  “A senior colleague once called me a cat with nine lives.”</w:t>
      </w:r>
    </w:p>
    <w:p>
      <w:pPr>
        <w:spacing w:before="0" w:after="36" w:line="250" w:lineRule="auto"/>
        <w:keepLines w:val="1"/>
      </w:pPr>
      <w:r>
        <w:rPr>
          <w:b/>
          <w:i w:val="0"/>
          <w:color w:val="8A6D1E"/>
          <w:sz w:val="22"/>
        </w:rPr>
        <w:t>H = HOOK</w:t>
      </w:r>
    </w:p>
    <w:p>
      <w:pPr>
        <w:spacing w:before="0" w:after="30" w:line="250" w:lineRule="auto"/>
        <w:keepLines w:val="1"/>
      </w:pPr>
      <w:r>
        <w:rPr>
          <w:b w:val="0"/>
          <w:i w:val="0"/>
          <w:sz w:val="22"/>
        </w:rPr>
        <w:t>Visual: begin on Temidayo, direct to camera.</w:t>
      </w:r>
    </w:p>
    <w:p>
      <w:pPr>
        <w:spacing w:before="0" w:after="30" w:line="250" w:lineRule="auto"/>
        <w:keepLines w:val="1"/>
      </w:pPr>
      <w:r>
        <w:rPr>
          <w:b w:val="0"/>
          <w:i w:val="0"/>
          <w:sz w:val="22"/>
        </w:rPr>
        <w:t>On-screen text:  YOUR CAREER MAKES SENSE</w:t>
      </w:r>
    </w:p>
    <w:p>
      <w:pPr>
        <w:spacing w:before="0" w:after="30" w:line="250" w:lineRule="auto"/>
        <w:keepLines w:val="1"/>
      </w:pPr>
      <w:r>
        <w:rPr>
          <w:b w:val="0"/>
          <w:i w:val="0"/>
          <w:sz w:val="22"/>
        </w:rPr>
        <w:t>Do not use a title card before this.</w:t>
      </w:r>
    </w:p>
    <w:p>
      <w:pPr>
        <w:spacing w:before="0" w:after="30" w:line="250" w:lineRule="auto"/>
        <w:keepLines w:val="1"/>
      </w:pPr>
      <w:r>
        <w:rPr>
          <w:b w:val="0"/>
          <w:i w:val="0"/>
          <w:sz w:val="22"/>
        </w:rPr>
        <w:t>FACTUAL BOUNDARY: the joke is the whole fact. Do not name the employer publicly, do not invent the original conversation, do not script the colleague's words beyond “a cat with nine lives”, and do not use cat imagery of any kind.</w:t>
      </w:r>
    </w:p>
    <w:p>
      <w:pPr>
        <w:spacing w:before="60" w:after="30" w:line="250" w:lineRule="auto"/>
        <w:keepLines w:val="1"/>
        <w:keepNext w:val="1"/>
      </w:pPr>
      <w:r>
        <w:rPr>
          <w:b/>
          <w:i w:val="0"/>
          <w:color w:val="0F2346"/>
          <w:sz w:val="23"/>
        </w:rPr>
        <w:t>0:10–0:20</w:t>
      </w:r>
    </w:p>
    <w:p>
      <w:pPr>
        <w:spacing w:before="0" w:after="48" w:line="250" w:lineRule="auto"/>
        <w:shd w:val="clear" w:fill="F3F0E8"/>
      </w:pPr>
      <w:r>
        <w:rPr>
          <w:b w:val="0"/>
          <w:i/>
          <w:color w:val="5A6B82"/>
          <w:sz w:val="21"/>
        </w:rPr>
        <w:t>Spoken anchor:  “When I explained it as a list of jobs, the path sounded more disconnected than it was.”</w:t>
      </w:r>
    </w:p>
    <w:p>
      <w:pPr>
        <w:spacing w:before="0" w:after="36" w:line="250" w:lineRule="auto"/>
        <w:keepLines w:val="1"/>
      </w:pPr>
      <w:r>
        <w:rPr>
          <w:b/>
          <w:i w:val="0"/>
          <w:color w:val="8A6D1E"/>
          <w:sz w:val="22"/>
        </w:rPr>
        <w:t>I = INTEREST</w:t>
      </w:r>
    </w:p>
    <w:p>
      <w:pPr>
        <w:spacing w:before="0" w:after="30" w:line="250" w:lineRule="auto"/>
        <w:keepLines w:val="1"/>
      </w:pPr>
      <w:r>
        <w:rPr>
          <w:b w:val="0"/>
          <w:i w:val="0"/>
          <w:sz w:val="22"/>
        </w:rPr>
        <w:t>Restrained text treatment of a plain job list, then the turn.</w:t>
      </w:r>
    </w:p>
    <w:p>
      <w:pPr>
        <w:spacing w:before="0" w:after="30" w:line="250" w:lineRule="auto"/>
        <w:keepLines w:val="1"/>
      </w:pPr>
      <w:r>
        <w:rPr>
          <w:b w:val="0"/>
          <w:i w:val="0"/>
          <w:sz w:val="22"/>
        </w:rPr>
        <w:t>On-screen:  CHRONOLOGY  vs.  PORTABILITY</w:t>
      </w:r>
    </w:p>
    <w:p>
      <w:pPr>
        <w:spacing w:before="0" w:after="30" w:line="250" w:lineRule="auto"/>
        <w:keepLines w:val="1"/>
      </w:pPr>
      <w:r>
        <w:rPr>
          <w:b w:val="0"/>
          <w:i w:val="0"/>
          <w:sz w:val="22"/>
        </w:rPr>
        <w:t>No résumé-scroll animation, no timeline graphic gag.</w:t>
      </w:r>
    </w:p>
    <w:p>
      <w:pPr>
        <w:spacing w:before="60" w:after="30" w:line="250" w:lineRule="auto"/>
        <w:keepLines w:val="1"/>
        <w:keepNext w:val="1"/>
      </w:pPr>
      <w:r>
        <w:rPr>
          <w:b/>
          <w:i w:val="0"/>
          <w:color w:val="0F2346"/>
          <w:sz w:val="23"/>
        </w:rPr>
        <w:t>0:20–0:26</w:t>
      </w:r>
    </w:p>
    <w:p>
      <w:pPr>
        <w:spacing w:before="0" w:after="48" w:line="250" w:lineRule="auto"/>
        <w:shd w:val="clear" w:fill="F3F0E8"/>
      </w:pPr>
      <w:r>
        <w:rPr>
          <w:b w:val="0"/>
          <w:i/>
          <w:color w:val="5A6B82"/>
          <w:sz w:val="21"/>
        </w:rPr>
        <w:t>Spoken anchor:  “The career wasn’t the problem. The explanation was.”</w:t>
      </w:r>
    </w:p>
    <w:p>
      <w:pPr>
        <w:spacing w:before="0" w:after="36" w:line="250" w:lineRule="auto"/>
        <w:keepLines w:val="1"/>
      </w:pPr>
      <w:r>
        <w:rPr>
          <w:b/>
          <w:i w:val="0"/>
          <w:color w:val="8A6D1E"/>
          <w:sz w:val="22"/>
        </w:rPr>
        <w:t>T = TRUST</w:t>
      </w:r>
    </w:p>
    <w:p>
      <w:pPr>
        <w:spacing w:before="0" w:after="30" w:line="250" w:lineRule="auto"/>
        <w:keepLines w:val="1"/>
      </w:pPr>
      <w:r>
        <w:rPr>
          <w:b w:val="0"/>
          <w:i w:val="0"/>
          <w:sz w:val="22"/>
        </w:rPr>
        <w:t>This is the line the video turns on. Let it sit.</w:t>
      </w:r>
    </w:p>
    <w:p>
      <w:pPr>
        <w:spacing w:before="0" w:after="30" w:line="250" w:lineRule="auto"/>
        <w:keepLines w:val="1"/>
      </w:pPr>
      <w:r>
        <w:rPr>
          <w:b w:val="0"/>
          <w:i w:val="0"/>
          <w:sz w:val="22"/>
        </w:rPr>
        <w:t>Stay on Temidayo. Do not cover it.</w:t>
      </w:r>
    </w:p>
    <w:p>
      <w:pPr>
        <w:spacing w:before="60" w:after="30" w:line="250" w:lineRule="auto"/>
        <w:keepLines w:val="1"/>
        <w:keepNext w:val="1"/>
      </w:pPr>
      <w:r>
        <w:rPr>
          <w:b/>
          <w:i w:val="0"/>
          <w:color w:val="0F2346"/>
          <w:sz w:val="23"/>
        </w:rPr>
        <w:t>0:26–0:32</w:t>
      </w:r>
    </w:p>
    <w:p>
      <w:pPr>
        <w:spacing w:before="0" w:after="48" w:line="250" w:lineRule="auto"/>
        <w:shd w:val="clear" w:fill="F3F0E8"/>
      </w:pPr>
      <w:r>
        <w:rPr>
          <w:b w:val="0"/>
          <w:i/>
          <w:color w:val="5A6B82"/>
          <w:sz w:val="21"/>
        </w:rPr>
        <w:t>Spoken anchor:  “So if your career looks disconnected on paper, let me show you how I learned to explain mine…”</w:t>
      </w:r>
    </w:p>
    <w:p>
      <w:pPr>
        <w:spacing w:before="0" w:after="36" w:line="250" w:lineRule="auto"/>
        <w:keepLines w:val="1"/>
      </w:pPr>
      <w:r>
        <w:rPr>
          <w:b/>
          <w:i w:val="0"/>
          <w:color w:val="8A6D1E"/>
          <w:sz w:val="22"/>
        </w:rPr>
        <w:t>PAYOFF</w:t>
      </w:r>
    </w:p>
    <w:p>
      <w:pPr>
        <w:spacing w:before="0" w:after="30" w:line="250" w:lineRule="auto"/>
        <w:keepLines w:val="1"/>
      </w:pPr>
      <w:r>
        <w:rPr>
          <w:b w:val="0"/>
          <w:i w:val="0"/>
          <w:sz w:val="22"/>
        </w:rPr>
        <w:t>This is the relational turn: her evidence becomes the viewer's method.</w:t>
      </w:r>
    </w:p>
    <w:p>
      <w:pPr>
        <w:spacing w:before="0" w:after="30" w:line="250" w:lineRule="auto"/>
        <w:keepLines w:val="1"/>
      </w:pPr>
      <w:r>
        <w:rPr>
          <w:b w:val="0"/>
          <w:i w:val="0"/>
          <w:sz w:val="22"/>
        </w:rPr>
        <w:t>Optional small text: 3 STEPS</w:t>
      </w:r>
    </w:p>
    <w:p>
      <w:pPr>
        <w:spacing w:before="0" w:after="30" w:line="250" w:lineRule="auto"/>
        <w:keepLines w:val="1"/>
      </w:pPr>
      <w:r>
        <w:rPr>
          <w:b w:val="0"/>
          <w:i w:val="0"/>
          <w:sz w:val="22"/>
        </w:rPr>
        <w:t>The payoff, and the honesty boundary — “without pretending every move was planned” — must both be clear before the teaching starts.</w:t>
      </w:r>
    </w:p>
    <w:p>
      <w:pPr>
        <w:spacing w:before="72" w:after="30" w:line="250" w:lineRule="auto"/>
        <w:keepLines w:val="1"/>
        <w:keepNext w:val="1"/>
      </w:pPr>
      <w:r>
        <w:rPr>
          <w:b/>
          <w:i w:val="0"/>
          <w:color w:val="0F2346"/>
          <w:sz w:val="23"/>
        </w:rPr>
        <w:t>First-30-second audit table</w:t>
      </w:r>
    </w:p>
    <w:p>
      <w:pPr>
        <w:spacing w:before="0" w:after="48" w:line="250" w:lineRule="auto"/>
        <w:keepLines w:val="1"/>
      </w:pPr>
      <w:r>
        <w:rPr>
          <w:b w:val="0"/>
          <w:i/>
          <w:color w:val="5A6B82"/>
          <w:sz w:val="21"/>
        </w:rPr>
        <w:t>Audited against the v4.0 standard. The existing opening passed on every criterion, so only the voice register was revised and the viewer turn was sharpened.</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0:00–0:10</w:t>
            </w:r>
          </w:p>
        </w:tc>
        <w:tc>
          <w:tcPr>
            <w:tcW w:type="dxa" w:w="2333"/>
          </w:tcPr>
          <w:p>
            <w:pPr>
              <w:spacing w:after="40" w:line="252" w:lineRule="auto"/>
            </w:pPr>
            <w:r/>
            <w:r>
              <w:rPr>
                <w:sz w:val="16"/>
              </w:rPr>
              <w:t>“A senior colleague once called me a cat with nine lives.”</w:t>
            </w:r>
          </w:p>
        </w:tc>
        <w:tc>
          <w:tcPr>
            <w:tcW w:type="dxa" w:w="1325"/>
          </w:tcPr>
          <w:p>
            <w:pPr>
              <w:spacing w:after="40" w:line="252" w:lineRule="auto"/>
            </w:pPr>
            <w:r/>
            <w:r>
              <w:rPr>
                <w:sz w:val="16"/>
              </w:rPr>
              <w:t>Personal-story opening; a real remark, not a claim.</w:t>
            </w:r>
          </w:p>
        </w:tc>
        <w:tc>
          <w:tcPr>
            <w:tcW w:type="dxa" w:w="1512"/>
          </w:tcPr>
          <w:p>
            <w:pPr>
              <w:spacing w:after="40" w:line="252" w:lineRule="auto"/>
            </w:pPr>
            <w:r/>
            <w:r>
              <w:rPr>
                <w:sz w:val="16"/>
              </w:rPr>
              <w:t>YOUR CAREER MAKES SENSE</w:t>
            </w:r>
          </w:p>
        </w:tc>
        <w:tc>
          <w:tcPr>
            <w:tcW w:type="dxa" w:w="1584"/>
          </w:tcPr>
          <w:p>
            <w:pPr>
              <w:spacing w:after="40" w:line="252" w:lineRule="auto"/>
            </w:pPr>
            <w:r/>
            <w:r>
              <w:rPr>
                <w:sz w:val="16"/>
              </w:rPr>
              <w:t>Open on Temidayo, direct to camera. No title card. NO cat imagery.</w:t>
            </w:r>
          </w:p>
        </w:tc>
        <w:tc>
          <w:tcPr>
            <w:tcW w:type="dxa" w:w="1325"/>
          </w:tcPr>
          <w:p>
            <w:pPr>
              <w:spacing w:after="40" w:line="252" w:lineRule="auto"/>
            </w:pPr>
            <w:r/>
            <w:r>
              <w:rPr>
                <w:sz w:val="16"/>
              </w:rPr>
              <w:t>A real thing a colleague said about her real career.</w:t>
            </w:r>
          </w:p>
        </w:tc>
        <w:tc>
          <w:tcPr>
            <w:tcW w:type="dxa" w:w="1397"/>
          </w:tcPr>
          <w:p>
            <w:pPr>
              <w:spacing w:after="40" w:line="252" w:lineRule="auto"/>
            </w:pPr>
            <w:r/>
            <w:r>
              <w:rPr>
                <w:sz w:val="16"/>
              </w:rPr>
              <w:t>The viewer recognises the nonlinear-career problem immediately.</w:t>
            </w:r>
          </w:p>
        </w:tc>
      </w:tr>
      <w:tr>
        <w:tc>
          <w:tcPr>
            <w:tcW w:type="dxa" w:w="749"/>
          </w:tcPr>
          <w:p>
            <w:pPr>
              <w:spacing w:after="40" w:line="252" w:lineRule="auto"/>
            </w:pPr>
            <w:r/>
            <w:r>
              <w:rPr>
                <w:sz w:val="16"/>
              </w:rPr>
              <w:t>0:10–0:20</w:t>
            </w:r>
          </w:p>
        </w:tc>
        <w:tc>
          <w:tcPr>
            <w:tcW w:type="dxa" w:w="2333"/>
          </w:tcPr>
          <w:p>
            <w:pPr>
              <w:spacing w:after="40" w:line="252" w:lineRule="auto"/>
            </w:pPr>
            <w:r/>
            <w:r>
              <w:rPr>
                <w:sz w:val="16"/>
              </w:rPr>
              <w:t>“When I explained it as a list of jobs, the path sounded more disconnected than it was.”</w:t>
            </w:r>
          </w:p>
        </w:tc>
        <w:tc>
          <w:tcPr>
            <w:tcW w:type="dxa" w:w="1325"/>
          </w:tcPr>
          <w:p>
            <w:pPr>
              <w:spacing w:after="40" w:line="252" w:lineRule="auto"/>
            </w:pPr>
            <w:r/>
            <w:r>
              <w:rPr>
                <w:sz w:val="16"/>
              </w:rPr>
              <w:t>The specific contradiction: the career was fine, the explanation was not.</w:t>
            </w:r>
          </w:p>
        </w:tc>
        <w:tc>
          <w:tcPr>
            <w:tcW w:type="dxa" w:w="1512"/>
          </w:tcPr>
          <w:p>
            <w:pPr>
              <w:spacing w:after="40" w:line="252" w:lineRule="auto"/>
            </w:pPr>
            <w:r/>
            <w:r>
              <w:rPr>
                <w:sz w:val="16"/>
              </w:rPr>
              <w:t>CHRONOLOGY  vs.  PORTABILITY</w:t>
            </w:r>
          </w:p>
        </w:tc>
        <w:tc>
          <w:tcPr>
            <w:tcW w:type="dxa" w:w="1584"/>
          </w:tcPr>
          <w:p>
            <w:pPr>
              <w:spacing w:after="40" w:line="252" w:lineRule="auto"/>
            </w:pPr>
            <w:r/>
            <w:r>
              <w:rPr>
                <w:sz w:val="16"/>
              </w:rPr>
              <w:t>Restrained text treatment of a plain job list, then the turn. No résumé-scroll animation.</w:t>
            </w:r>
          </w:p>
        </w:tc>
        <w:tc>
          <w:tcPr>
            <w:tcW w:type="dxa" w:w="1325"/>
          </w:tcPr>
          <w:p>
            <w:pPr>
              <w:spacing w:after="40" w:line="252" w:lineRule="auto"/>
            </w:pPr>
            <w:r/>
            <w:r>
              <w:rPr>
                <w:sz w:val="16"/>
              </w:rPr>
              <w:t>Her own failed explanation, named as a failure.</w:t>
            </w:r>
          </w:p>
        </w:tc>
        <w:tc>
          <w:tcPr>
            <w:tcW w:type="dxa" w:w="1397"/>
          </w:tcPr>
          <w:p>
            <w:pPr>
              <w:spacing w:after="40" w:line="252" w:lineRule="auto"/>
            </w:pPr>
            <w:r/>
            <w:r>
              <w:rPr>
                <w:sz w:val="16"/>
              </w:rPr>
              <w:t>The viewer sees the problem is fixable and is about explanation.</w:t>
            </w:r>
          </w:p>
        </w:tc>
      </w:tr>
      <w:tr>
        <w:tc>
          <w:tcPr>
            <w:tcW w:type="dxa" w:w="749"/>
          </w:tcPr>
          <w:p>
            <w:pPr>
              <w:spacing w:after="40" w:line="252" w:lineRule="auto"/>
            </w:pPr>
            <w:r/>
            <w:r>
              <w:rPr>
                <w:sz w:val="16"/>
              </w:rPr>
              <w:t>0:20–0:26</w:t>
            </w:r>
          </w:p>
        </w:tc>
        <w:tc>
          <w:tcPr>
            <w:tcW w:type="dxa" w:w="2333"/>
          </w:tcPr>
          <w:p>
            <w:pPr>
              <w:spacing w:after="40" w:line="252" w:lineRule="auto"/>
            </w:pPr>
            <w:r/>
            <w:r>
              <w:rPr>
                <w:sz w:val="16"/>
              </w:rPr>
              <w:t>“The career wasn’t the problem. The explanation was.”</w:t>
            </w:r>
          </w:p>
        </w:tc>
        <w:tc>
          <w:tcPr>
            <w:tcW w:type="dxa" w:w="1325"/>
          </w:tcPr>
          <w:p>
            <w:pPr>
              <w:spacing w:after="40" w:line="252" w:lineRule="auto"/>
            </w:pPr>
            <w:r/>
            <w:r>
              <w:rPr>
                <w:sz w:val="16"/>
              </w:rPr>
              <w:t>The line the video turns on.</w:t>
            </w:r>
          </w:p>
        </w:tc>
        <w:tc>
          <w:tcPr>
            <w:tcW w:type="dxa" w:w="1512"/>
          </w:tcPr>
          <w:p>
            <w:pPr>
              <w:spacing w:after="40" w:line="252" w:lineRule="auto"/>
            </w:pPr>
            <w:r/>
            <w:r>
              <w:rPr>
                <w:sz w:val="16"/>
              </w:rPr>
              <w:t>—</w:t>
            </w:r>
          </w:p>
        </w:tc>
        <w:tc>
          <w:tcPr>
            <w:tcW w:type="dxa" w:w="1584"/>
          </w:tcPr>
          <w:p>
            <w:pPr>
              <w:spacing w:after="40" w:line="252" w:lineRule="auto"/>
            </w:pPr>
            <w:r/>
            <w:r>
              <w:rPr>
                <w:sz w:val="16"/>
              </w:rPr>
              <w:t>Stay on Temidayo. Let it sit. Do not cover it.</w:t>
            </w:r>
          </w:p>
        </w:tc>
        <w:tc>
          <w:tcPr>
            <w:tcW w:type="dxa" w:w="1325"/>
          </w:tcPr>
          <w:p>
            <w:pPr>
              <w:spacing w:after="40" w:line="252" w:lineRule="auto"/>
            </w:pPr>
            <w:r/>
            <w:r>
              <w:rPr>
                <w:sz w:val="16"/>
              </w:rPr>
              <w:t>A relearning moment, stated plainly.</w:t>
            </w:r>
          </w:p>
        </w:tc>
        <w:tc>
          <w:tcPr>
            <w:tcW w:type="dxa" w:w="1397"/>
          </w:tcPr>
          <w:p>
            <w:pPr>
              <w:spacing w:after="40" w:line="252" w:lineRule="auto"/>
            </w:pPr>
            <w:r/>
            <w:r>
              <w:rPr>
                <w:sz w:val="16"/>
              </w:rPr>
              <w:t>The viewer knows what will actually be taught.</w:t>
            </w:r>
          </w:p>
        </w:tc>
      </w:tr>
      <w:tr>
        <w:tc>
          <w:tcPr>
            <w:tcW w:type="dxa" w:w="749"/>
          </w:tcPr>
          <w:p>
            <w:pPr>
              <w:spacing w:after="40" w:line="252" w:lineRule="auto"/>
            </w:pPr>
            <w:r/>
            <w:r>
              <w:rPr>
                <w:sz w:val="16"/>
              </w:rPr>
              <w:t>0:26–0:32</w:t>
            </w:r>
          </w:p>
        </w:tc>
        <w:tc>
          <w:tcPr>
            <w:tcW w:type="dxa" w:w="2333"/>
          </w:tcPr>
          <w:p>
            <w:pPr>
              <w:spacing w:after="40" w:line="252" w:lineRule="auto"/>
            </w:pPr>
            <w:r/>
            <w:r>
              <w:rPr>
                <w:sz w:val="16"/>
              </w:rPr>
              <w:t>“So if your career looks disconnected on paper, let me show you how I learned to explain mine…”</w:t>
            </w:r>
          </w:p>
        </w:tc>
        <w:tc>
          <w:tcPr>
            <w:tcW w:type="dxa" w:w="1325"/>
          </w:tcPr>
          <w:p>
            <w:pPr>
              <w:spacing w:after="40" w:line="252" w:lineRule="auto"/>
            </w:pPr>
            <w:r/>
            <w:r>
              <w:rPr>
                <w:sz w:val="16"/>
              </w:rPr>
              <w:t>Direct offer: her case becomes the viewer's method.</w:t>
            </w:r>
          </w:p>
        </w:tc>
        <w:tc>
          <w:tcPr>
            <w:tcW w:type="dxa" w:w="1512"/>
          </w:tcPr>
          <w:p>
            <w:pPr>
              <w:spacing w:after="40" w:line="252" w:lineRule="auto"/>
            </w:pPr>
            <w:r/>
            <w:r>
              <w:rPr>
                <w:sz w:val="16"/>
              </w:rPr>
              <w:t>3 STEPS</w:t>
            </w:r>
          </w:p>
        </w:tc>
        <w:tc>
          <w:tcPr>
            <w:tcW w:type="dxa" w:w="1584"/>
          </w:tcPr>
          <w:p>
            <w:pPr>
              <w:spacing w:after="40" w:line="252" w:lineRule="auto"/>
            </w:pPr>
            <w:r/>
            <w:r>
              <w:rPr>
                <w:sz w:val="16"/>
              </w:rPr>
              <w:t>Return cleanly to Temidayo.</w:t>
            </w:r>
          </w:p>
        </w:tc>
        <w:tc>
          <w:tcPr>
            <w:tcW w:type="dxa" w:w="1325"/>
          </w:tcPr>
          <w:p>
            <w:pPr>
              <w:spacing w:after="40" w:line="252" w:lineRule="auto"/>
            </w:pPr>
            <w:r/>
            <w:r>
              <w:rPr>
                <w:sz w:val="16"/>
              </w:rPr>
              <w:t>The method is derived from her own case, not from advice.</w:t>
            </w:r>
          </w:p>
        </w:tc>
        <w:tc>
          <w:tcPr>
            <w:tcW w:type="dxa" w:w="1397"/>
          </w:tcPr>
          <w:p>
            <w:pPr>
              <w:spacing w:after="40" w:line="252" w:lineRule="auto"/>
            </w:pPr>
            <w:r/>
            <w:r>
              <w:rPr>
                <w:sz w:val="16"/>
              </w:rPr>
              <w:t>Payoff and the honesty boundary are both clear before 30 seconds.</w:t>
            </w:r>
          </w:p>
        </w:tc>
      </w:tr>
    </w:tbl>
    <w:p>
      <w:pPr>
        <w:spacing w:before="60" w:after="30" w:line="250" w:lineRule="auto"/>
        <w:keepLines w:val="1"/>
      </w:pPr>
      <w:r>
        <w:rPr>
          <w:b/>
          <w:i w:val="0"/>
          <w:color w:val="0F2346"/>
          <w:sz w:val="21"/>
        </w:rPr>
        <w:t>Hook layers for the long-form:</w:t>
      </w:r>
    </w:p>
    <w:p>
      <w:pPr>
        <w:spacing w:before="0" w:after="24" w:line="250" w:lineRule="auto"/>
        <w:keepLines w:val="1"/>
      </w:pPr>
      <w:r>
        <w:rPr>
          <w:b w:val="0"/>
          <w:i w:val="0"/>
          <w:sz w:val="21"/>
        </w:rPr>
        <w:t>Verbal hook:       A senior colleague once called me a cat with nine lives.</w:t>
      </w:r>
    </w:p>
    <w:p>
      <w:pPr>
        <w:spacing w:before="0" w:after="24" w:line="250" w:lineRule="auto"/>
        <w:keepLines w:val="1"/>
      </w:pPr>
      <w:r>
        <w:rPr>
          <w:b w:val="0"/>
          <w:i w:val="0"/>
          <w:sz w:val="21"/>
        </w:rPr>
        <w:t>On-screen hook:    YOUR CAREER MAKES SENSE</w:t>
      </w:r>
    </w:p>
    <w:p>
      <w:pPr>
        <w:spacing w:before="0" w:after="24" w:line="250" w:lineRule="auto"/>
        <w:keepLines w:val="1"/>
      </w:pPr>
      <w:r>
        <w:rPr>
          <w:b w:val="0"/>
          <w:i w:val="0"/>
          <w:sz w:val="21"/>
        </w:rPr>
        <w:t>Visual / editor:   Direct to camera, then the chronology-versus-portability contrast.</w:t>
      </w:r>
    </w:p>
    <w:p>
      <w:pPr>
        <w:spacing w:before="0" w:after="24" w:line="250" w:lineRule="auto"/>
        <w:keepLines w:val="1"/>
      </w:pPr>
      <w:r>
        <w:rPr>
          <w:b w:val="0"/>
          <w:i w:val="0"/>
          <w:sz w:val="21"/>
        </w:rPr>
        <w:t>Trust beat:        Her own nonlinear career and the explanation that kept failing.</w:t>
      </w:r>
    </w:p>
    <w:p>
      <w:pPr>
        <w:spacing w:before="0" w:after="24" w:line="250" w:lineRule="auto"/>
        <w:keepLines w:val="1"/>
      </w:pPr>
      <w:r>
        <w:rPr>
          <w:b w:val="0"/>
          <w:i w:val="0"/>
          <w:sz w:val="21"/>
        </w:rPr>
        <w:t>Viewer payoff:     A three-sentence method for explaining a career change, promised by 0:32.</w:t>
      </w:r>
    </w:p>
    <w:p>
      <w:pPr>
        <w:spacing w:before="84" w:after="48" w:line="250" w:lineRule="auto"/>
        <w:keepLines w:val="1"/>
        <w:keepNext w:val="1"/>
      </w:pPr>
      <w:r>
        <w:rPr>
          <w:b/>
          <w:i w:val="0"/>
          <w:color w:val="0F2346"/>
          <w:sz w:val="28"/>
        </w:rPr>
        <w:t>4.  Slide marker → actual slide number</w:t>
      </w:r>
    </w:p>
    <w:p>
      <w:pPr>
        <w:spacing w:before="0" w:after="48" w:line="250" w:lineRule="auto"/>
      </w:pPr>
      <w:r>
        <w:rPr>
          <w:b w:val="0"/>
          <w:i w:val="0"/>
          <w:sz w:val="22"/>
        </w:rPr>
        <w:t>The teleprompter carries eleven slide markers. They map to the existing eleven-slide deck in order, marker 1 to slide 1 through marker 11 to slide 11. Do not add, delete, redesign or reorder slides.</w:t>
      </w:r>
    </w:p>
    <w:p>
      <w:pPr>
        <w:spacing w:before="0" w:after="18" w:line="250" w:lineRule="auto"/>
        <w:keepLines w:val="1"/>
      </w:pPr>
      <w:r>
        <w:rPr>
          <w:b w:val="0"/>
          <w:i w:val="0"/>
          <w:sz w:val="21"/>
        </w:rPr>
        <w:t>Marker 1   →  Slide 1   Career Path</w:t>
      </w:r>
    </w:p>
    <w:p>
      <w:pPr>
        <w:spacing w:before="0" w:after="18" w:line="250" w:lineRule="auto"/>
        <w:keepLines w:val="1"/>
      </w:pPr>
      <w:r>
        <w:rPr>
          <w:b w:val="0"/>
          <w:i w:val="0"/>
          <w:sz w:val="21"/>
        </w:rPr>
        <w:t>Marker 2   →  Slide 2   Chronology / Portability</w:t>
      </w:r>
    </w:p>
    <w:p>
      <w:pPr>
        <w:spacing w:before="0" w:after="18" w:line="250" w:lineRule="auto"/>
        <w:keepLines w:val="1"/>
      </w:pPr>
      <w:r>
        <w:rPr>
          <w:b w:val="0"/>
          <w:i w:val="0"/>
          <w:sz w:val="21"/>
        </w:rPr>
        <w:t>Marker 3   →  Slide 3   1 Name the Chapters Briefly</w:t>
      </w:r>
    </w:p>
    <w:p>
      <w:pPr>
        <w:spacing w:before="0" w:after="18" w:line="250" w:lineRule="auto"/>
        <w:keepLines w:val="1"/>
      </w:pPr>
      <w:r>
        <w:rPr>
          <w:b w:val="0"/>
          <w:i w:val="0"/>
          <w:sz w:val="21"/>
        </w:rPr>
        <w:t>Marker 4   →  Slide 4   2 Find the Repeated Work</w:t>
      </w:r>
    </w:p>
    <w:p>
      <w:pPr>
        <w:spacing w:before="0" w:after="18" w:line="250" w:lineRule="auto"/>
        <w:keepLines w:val="1"/>
      </w:pPr>
      <w:r>
        <w:rPr>
          <w:b w:val="0"/>
          <w:i w:val="0"/>
          <w:sz w:val="21"/>
        </w:rPr>
        <w:t>Marker 5   →  Slide 5   Look Beneath the Nouns</w:t>
      </w:r>
    </w:p>
    <w:p>
      <w:pPr>
        <w:spacing w:before="0" w:after="18" w:line="250" w:lineRule="auto"/>
        <w:keepLines w:val="1"/>
      </w:pPr>
      <w:r>
        <w:rPr>
          <w:b w:val="0"/>
          <w:i w:val="0"/>
          <w:sz w:val="21"/>
        </w:rPr>
        <w:t>Marker 6   →  Slide 6   3 Explain the Direction</w:t>
      </w:r>
    </w:p>
    <w:p>
      <w:pPr>
        <w:spacing w:before="0" w:after="18" w:line="250" w:lineRule="auto"/>
        <w:keepLines w:val="1"/>
      </w:pPr>
      <w:r>
        <w:rPr>
          <w:b w:val="0"/>
          <w:i w:val="0"/>
          <w:sz w:val="21"/>
        </w:rPr>
        <w:t>Marker 7   →  Slide 7   Three-Sentence Structure</w:t>
      </w:r>
    </w:p>
    <w:p>
      <w:pPr>
        <w:spacing w:before="0" w:after="18" w:line="250" w:lineRule="auto"/>
        <w:keepLines w:val="1"/>
      </w:pPr>
      <w:r>
        <w:rPr>
          <w:b w:val="0"/>
          <w:i w:val="0"/>
          <w:sz w:val="21"/>
        </w:rPr>
        <w:t>Marker 8   →  Slide 8   Do Not Invent a Perfect Plan</w:t>
      </w:r>
    </w:p>
    <w:p>
      <w:pPr>
        <w:spacing w:before="0" w:after="18" w:line="250" w:lineRule="auto"/>
        <w:keepLines w:val="1"/>
      </w:pPr>
      <w:r>
        <w:rPr>
          <w:b w:val="0"/>
          <w:i w:val="0"/>
          <w:sz w:val="21"/>
        </w:rPr>
        <w:t>Marker 9   →  Slide 9   Explanation Test</w:t>
      </w:r>
    </w:p>
    <w:p>
      <w:pPr>
        <w:spacing w:before="0" w:after="18" w:line="250" w:lineRule="auto"/>
        <w:keepLines w:val="1"/>
      </w:pPr>
      <w:r>
        <w:rPr>
          <w:b w:val="0"/>
          <w:i w:val="0"/>
          <w:sz w:val="21"/>
        </w:rPr>
        <w:t>Marker 10  →  Slide 10  Career Evidence Starter</w:t>
      </w:r>
    </w:p>
    <w:p>
      <w:pPr>
        <w:spacing w:before="0" w:after="18" w:line="250" w:lineRule="auto"/>
        <w:keepLines w:val="1"/>
      </w:pPr>
      <w:r>
        <w:rPr>
          <w:b w:val="0"/>
          <w:i w:val="0"/>
          <w:sz w:val="21"/>
        </w:rPr>
        <w:t>Marker 11  →  Slide 11  Watch Next</w:t>
      </w:r>
    </w:p>
    <w:p>
      <w:pPr>
        <w:spacing w:before="84" w:after="48" w:line="250" w:lineRule="auto"/>
        <w:keepLines w:val="1"/>
        <w:keepNext w:val="1"/>
      </w:pPr>
      <w:r>
        <w:rPr>
          <w:b/>
          <w:i w:val="0"/>
          <w:color w:val="0F2346"/>
          <w:sz w:val="28"/>
        </w:rPr>
        <w:t>5.  Existing reveal-frame map</w:t>
      </w:r>
    </w:p>
    <w:p>
      <w:pPr>
        <w:spacing w:before="0" w:after="48" w:line="250" w:lineRule="auto"/>
      </w:pPr>
      <w:r>
        <w:rPr>
          <w:b w:val="0"/>
          <w:i w:val="0"/>
          <w:sz w:val="22"/>
        </w:rPr>
        <w:t>The reveal-build deck contains 26 frames. This is the inspected count from the actual file. Reveal visuals are unchanged.</w:t>
      </w:r>
    </w:p>
    <w:p>
      <w:pPr>
        <w:spacing w:before="0" w:after="18" w:line="250" w:lineRule="auto"/>
        <w:keepLines w:val="1"/>
      </w:pPr>
      <w:r>
        <w:rPr>
          <w:b w:val="0"/>
          <w:i w:val="0"/>
          <w:sz w:val="21"/>
        </w:rPr>
        <w:t>Slide 1   →  reveal frames 1–4      (4)</w:t>
      </w:r>
    </w:p>
    <w:p>
      <w:pPr>
        <w:spacing w:before="0" w:after="18" w:line="250" w:lineRule="auto"/>
        <w:keepLines w:val="1"/>
      </w:pPr>
      <w:r>
        <w:rPr>
          <w:b w:val="0"/>
          <w:i w:val="0"/>
          <w:sz w:val="21"/>
        </w:rPr>
        <w:t>Slide 2   →  reveal frames 5–6      (2)</w:t>
      </w:r>
    </w:p>
    <w:p>
      <w:pPr>
        <w:spacing w:before="0" w:after="18" w:line="250" w:lineRule="auto"/>
        <w:keepLines w:val="1"/>
      </w:pPr>
      <w:r>
        <w:rPr>
          <w:b w:val="0"/>
          <w:i w:val="0"/>
          <w:sz w:val="21"/>
        </w:rPr>
        <w:t>Slide 3   →  reveal frames 7        (1)</w:t>
      </w:r>
    </w:p>
    <w:p>
      <w:pPr>
        <w:spacing w:before="0" w:after="18" w:line="250" w:lineRule="auto"/>
        <w:keepLines w:val="1"/>
      </w:pPr>
      <w:r>
        <w:rPr>
          <w:b w:val="0"/>
          <w:i w:val="0"/>
          <w:sz w:val="21"/>
        </w:rPr>
        <w:t>Slide 4   →  reveal frames 8–12     (5)</w:t>
      </w:r>
    </w:p>
    <w:p>
      <w:pPr>
        <w:spacing w:before="0" w:after="18" w:line="250" w:lineRule="auto"/>
        <w:keepLines w:val="1"/>
      </w:pPr>
      <w:r>
        <w:rPr>
          <w:b w:val="0"/>
          <w:i w:val="0"/>
          <w:sz w:val="21"/>
        </w:rPr>
        <w:t>Slide 5   →  reveal frames 13–14    (2)</w:t>
      </w:r>
    </w:p>
    <w:p>
      <w:pPr>
        <w:spacing w:before="0" w:after="18" w:line="250" w:lineRule="auto"/>
        <w:keepLines w:val="1"/>
      </w:pPr>
      <w:r>
        <w:rPr>
          <w:b w:val="0"/>
          <w:i w:val="0"/>
          <w:sz w:val="21"/>
        </w:rPr>
        <w:t>Slide 6   →  reveal frames 15–17    (3)</w:t>
      </w:r>
    </w:p>
    <w:p>
      <w:pPr>
        <w:spacing w:before="0" w:after="18" w:line="250" w:lineRule="auto"/>
        <w:keepLines w:val="1"/>
      </w:pPr>
      <w:r>
        <w:rPr>
          <w:b w:val="0"/>
          <w:i w:val="0"/>
          <w:sz w:val="21"/>
        </w:rPr>
        <w:t>Slide 7   →  reveal frames 18–20    (3)</w:t>
      </w:r>
    </w:p>
    <w:p>
      <w:pPr>
        <w:spacing w:before="0" w:after="18" w:line="250" w:lineRule="auto"/>
        <w:keepLines w:val="1"/>
      </w:pPr>
      <w:r>
        <w:rPr>
          <w:b w:val="0"/>
          <w:i w:val="0"/>
          <w:sz w:val="21"/>
        </w:rPr>
        <w:t>Slide 8   →  reveal frames 21       (1)</w:t>
      </w:r>
    </w:p>
    <w:p>
      <w:pPr>
        <w:spacing w:before="0" w:after="18" w:line="250" w:lineRule="auto"/>
        <w:keepLines w:val="1"/>
      </w:pPr>
      <w:r>
        <w:rPr>
          <w:b w:val="0"/>
          <w:i w:val="0"/>
          <w:sz w:val="21"/>
        </w:rPr>
        <w:t>Slide 9   →  reveal frames 22–24    (3)</w:t>
      </w:r>
    </w:p>
    <w:p>
      <w:pPr>
        <w:spacing w:before="0" w:after="18" w:line="250" w:lineRule="auto"/>
        <w:keepLines w:val="1"/>
      </w:pPr>
      <w:r>
        <w:rPr>
          <w:b w:val="0"/>
          <w:i w:val="0"/>
          <w:sz w:val="21"/>
        </w:rPr>
        <w:t>Slide 10  →  reveal frames 25       (1)</w:t>
      </w:r>
    </w:p>
    <w:p>
      <w:pPr>
        <w:spacing w:before="0" w:after="18" w:line="250" w:lineRule="auto"/>
        <w:keepLines w:val="1"/>
      </w:pPr>
      <w:r>
        <w:rPr>
          <w:b w:val="0"/>
          <w:i w:val="0"/>
          <w:sz w:val="21"/>
        </w:rPr>
        <w:t>Slide 11  →  reveal frames 26       (1)</w:t>
      </w:r>
    </w:p>
    <w:p>
      <w:pPr>
        <w:spacing w:before="84" w:after="48" w:line="250" w:lineRule="auto"/>
        <w:keepLines w:val="1"/>
        <w:keepNext w:val="1"/>
      </w:pPr>
      <w:r>
        <w:rPr>
          <w:b/>
          <w:i w:val="0"/>
          <w:color w:val="0F2346"/>
          <w:sz w:val="28"/>
        </w:rPr>
        <w:t>6.  Overlay principle</w:t>
      </w:r>
    </w:p>
    <w:p>
      <w:pPr>
        <w:spacing w:before="0" w:after="48" w:line="250" w:lineRule="auto"/>
      </w:pPr>
      <w:r>
        <w:rPr>
          <w:b w:val="0"/>
          <w:i w:val="0"/>
          <w:sz w:val="22"/>
        </w:rPr>
        <w:t>When a visual can prove information more efficiently than Temidayo speaking it, let the visual carry it. Do not add spoken wording to duplicate slide copy, and do not add slide copy to duplicate her.</w:t>
      </w:r>
    </w:p>
    <w:p>
      <w:pPr>
        <w:spacing w:before="84" w:after="48" w:line="250" w:lineRule="auto"/>
        <w:keepLines w:val="1"/>
        <w:keepNext w:val="1"/>
      </w:pPr>
      <w:r>
        <w:rPr>
          <w:b/>
          <w:i w:val="0"/>
          <w:color w:val="0F2346"/>
          <w:sz w:val="28"/>
        </w:rPr>
        <w:t>7.  Factual boundaries</w:t>
      </w:r>
    </w:p>
    <w:p>
      <w:pPr>
        <w:spacing w:before="0" w:after="48" w:line="250" w:lineRule="auto"/>
        <w:shd w:val="clear" w:fill="F3F0E8"/>
        <w:keepLines w:val="1"/>
      </w:pPr>
      <w:r>
        <w:rPr>
          <w:b/>
          <w:i w:val="0"/>
          <w:color w:val="9B2C10"/>
          <w:sz w:val="22"/>
        </w:rPr>
        <w:t>THE CAT-WITH-NINE-LIVES FACT IS BOUNDED. A senior colleague once called Temidayo a cat with nine lives, meaning her career kept moving into work that looked unrelated. That is the entire approved fact. Do not name the employer publicly, invent the original conversation, add dialogue, or use cat imagery anywhere in the edit or the thumbnail.</w:t>
      </w:r>
    </w:p>
    <w:p>
      <w:pPr>
        <w:spacing w:before="0" w:after="48" w:line="250" w:lineRule="auto"/>
        <w:shd w:val="clear" w:fill="F3F0E8"/>
        <w:keepLines w:val="1"/>
      </w:pPr>
      <w:r>
        <w:rPr>
          <w:b/>
          <w:i w:val="0"/>
          <w:color w:val="9B2C10"/>
          <w:sz w:val="22"/>
        </w:rPr>
        <w:t>THE HONESTY BOUNDARY IS THE POINT OF THE VIDEO. Never imply every move was planned, and never imply everything transfers. Different roles, functions and industries can require real relearning, and the script says so twice. Do not trim either instance.</w:t>
      </w:r>
    </w:p>
    <w:p>
      <w:pPr>
        <w:spacing w:before="0" w:after="18" w:line="250" w:lineRule="auto"/>
        <w:keepLines w:val="1"/>
      </w:pPr>
      <w:r>
        <w:rPr>
          <w:b w:val="0"/>
          <w:i w:val="0"/>
          <w:sz w:val="22"/>
        </w:rPr>
        <w:t>—  2008 financial-crisis context stays as spoken, no more;</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claim that the three chapters are one profession;</w:t>
      </w:r>
    </w:p>
    <w:p>
      <w:pPr>
        <w:spacing w:before="0" w:after="18" w:line="250" w:lineRule="auto"/>
        <w:keepLines w:val="1"/>
      </w:pPr>
      <w:r>
        <w:rPr>
          <w:b w:val="0"/>
          <w:i w:val="0"/>
          <w:sz w:val="22"/>
        </w:rPr>
        <w:t>—  no forced connection the evidence does not support;</w:t>
      </w:r>
    </w:p>
    <w:p>
      <w:pPr>
        <w:spacing w:before="0" w:after="18" w:line="250" w:lineRule="auto"/>
        <w:keepLines w:val="1"/>
      </w:pPr>
      <w:r>
        <w:rPr>
          <w:b w:val="0"/>
          <w:i w:val="0"/>
          <w:sz w:val="22"/>
        </w:rPr>
        <w:t>—  permitted evidence only in the written exercise.</w:t>
      </w:r>
    </w:p>
    <w:p>
      <w:pPr>
        <w:spacing w:before="84" w:after="48" w:line="250" w:lineRule="auto"/>
        <w:keepLines w:val="1"/>
        <w:keepNext w:val="1"/>
      </w:pPr>
      <w:r>
        <w:rPr>
          <w:b/>
          <w:i w:val="0"/>
          <w:color w:val="0F2346"/>
          <w:sz w:val="28"/>
        </w:rPr>
        <w:t>8.  CTA and watch next</w:t>
      </w:r>
    </w:p>
    <w:p>
      <w:pPr>
        <w:spacing w:before="0" w:after="30" w:line="250" w:lineRule="auto"/>
        <w:keepLines w:val="1"/>
      </w:pPr>
      <w:r>
        <w:rPr>
          <w:b w:val="0"/>
          <w:i w:val="0"/>
          <w:sz w:val="22"/>
        </w:rPr>
        <w:t>One product CTA only: Free Career Evidence Starter — https://temidayoafonja.com/career-evidence-starter</w:t>
      </w:r>
    </w:p>
    <w:p>
      <w:pPr>
        <w:spacing w:before="0" w:after="36" w:line="250" w:lineRule="auto"/>
        <w:keepLines w:val="1"/>
      </w:pPr>
      <w:r>
        <w:rPr>
          <w:b/>
          <w:i w:val="0"/>
          <w:sz w:val="22"/>
        </w:rPr>
        <w:t>Use the direct public landing-page URL only. Do not expose a PDF link, and do not restore Keep the Proof.</w:t>
      </w:r>
    </w:p>
    <w:p>
      <w:pPr>
        <w:spacing w:before="0" w:after="30" w:line="250" w:lineRule="auto"/>
        <w:keepLines w:val="1"/>
      </w:pPr>
      <w:r>
        <w:rPr>
          <w:b/>
          <w:i w:val="0"/>
          <w:sz w:val="22"/>
        </w:rPr>
        <w:t>Watch next: Should I Make an Internal Move? 3 Questions to Decide</w:t>
      </w:r>
    </w:p>
    <w:p>
      <w:pPr>
        <w:spacing w:before="0" w:after="48" w:line="250" w:lineRule="auto"/>
        <w:keepLines w:val="1"/>
      </w:pPr>
      <w:r>
        <w:rPr>
          <w:b w:val="0"/>
          <w:i w:val="0"/>
          <w:color w:val="5A6B82"/>
          <w:sz w:val="21"/>
        </w:rPr>
        <w:t>Slide 11 carries the correct Video 5 title, “Should I Make an Internal Move? 3 Questions to Decide”, and the playlist line. It was inspected in this pass and matches the spoken route.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9.  Editing rhythm after 0:30</w:t>
      </w:r>
    </w:p>
    <w:p>
      <w:pPr>
        <w:spacing w:before="0" w:after="48" w:line="250" w:lineRule="auto"/>
      </w:pPr>
      <w:r>
        <w:rPr>
          <w:b w:val="0"/>
          <w:i w:val="0"/>
          <w:sz w:val="22"/>
        </w:rPr>
        <w:t>The opening is intentionally more visually active than the rest of the video. Do NOT read H.I.T. as permission to keep that density running. Once the viewer is inside the teaching, the edit should feel premium, calm and editorial.</w:t>
      </w:r>
    </w:p>
    <w:p>
      <w:pPr>
        <w:spacing w:before="0" w:after="18" w:line="250" w:lineRule="auto"/>
        <w:keepLines w:val="1"/>
      </w:pPr>
      <w:r>
        <w:rPr>
          <w:b w:val="0"/>
          <w:i w:val="0"/>
          <w:sz w:val="22"/>
        </w:rPr>
        <w:t>—  preserve Temidayo's natural pacing;        —  use the slides as support;</w:t>
      </w:r>
    </w:p>
    <w:p>
      <w:pPr>
        <w:spacing w:before="0" w:after="18" w:line="250" w:lineRule="auto"/>
        <w:keepLines w:val="1"/>
      </w:pPr>
      <w:r>
        <w:rPr>
          <w:b w:val="0"/>
          <w:i w:val="0"/>
          <w:sz w:val="22"/>
        </w:rPr>
        <w:t>—  avoid decorative motion;        —  avoid constant punch-ins;</w:t>
      </w:r>
    </w:p>
    <w:p>
      <w:pPr>
        <w:spacing w:before="0" w:after="18" w:line="250" w:lineRule="auto"/>
        <w:keepLines w:val="1"/>
      </w:pPr>
      <w:r>
        <w:rPr>
          <w:b w:val="0"/>
          <w:i w:val="0"/>
          <w:sz w:val="22"/>
        </w:rPr>
        <w:t>—  avoid stock office footage;        —  avoid generic résumé B-roll;</w:t>
      </w:r>
    </w:p>
    <w:p>
      <w:pPr>
        <w:spacing w:before="0" w:after="18" w:line="250" w:lineRule="auto"/>
        <w:keepLines w:val="1"/>
      </w:pPr>
      <w:r>
        <w:rPr>
          <w:b w:val="0"/>
          <w:i w:val="0"/>
          <w:sz w:val="22"/>
        </w:rPr>
        <w:t>—  avoid red warning graphics;        —  avoid fake urgency;</w:t>
      </w:r>
    </w:p>
    <w:p>
      <w:pPr>
        <w:spacing w:before="0" w:after="18" w:line="250" w:lineRule="auto"/>
        <w:keepLines w:val="1"/>
      </w:pPr>
      <w:r>
        <w:rPr>
          <w:b w:val="0"/>
          <w:i w:val="0"/>
          <w:sz w:val="22"/>
        </w:rPr>
        <w:t>—  avoid flashy transitions.</w:t>
      </w:r>
    </w:p>
    <w:p>
      <w:pPr>
        <w:spacing w:before="84" w:after="48" w:line="250" w:lineRule="auto"/>
        <w:keepLines w:val="1"/>
        <w:keepNext w:val="1"/>
      </w:pPr>
      <w:r>
        <w:rPr>
          <w:b/>
          <w:i w:val="0"/>
          <w:color w:val="0F2346"/>
          <w:sz w:val="28"/>
        </w:rPr>
        <w:t>10.  Visual “do not use” list</w:t>
      </w:r>
    </w:p>
    <w:p>
      <w:pPr>
        <w:spacing w:before="0" w:after="18" w:line="250" w:lineRule="auto"/>
        <w:keepLines w:val="1"/>
      </w:pPr>
      <w:r>
        <w:rPr>
          <w:b w:val="0"/>
          <w:i w:val="0"/>
          <w:sz w:val="22"/>
        </w:rPr>
        <w:t>—  stock office B-roll;        —  generic résumé graphics;</w:t>
      </w:r>
    </w:p>
    <w:p>
      <w:pPr>
        <w:spacing w:before="0" w:after="18" w:line="250" w:lineRule="auto"/>
        <w:keepLines w:val="1"/>
      </w:pPr>
      <w:r>
        <w:rPr>
          <w:b w:val="0"/>
          <w:i w:val="0"/>
          <w:sz w:val="22"/>
        </w:rPr>
        <w:t>—  employer logos;        —  red warning graphics;</w:t>
      </w:r>
    </w:p>
    <w:p>
      <w:pPr>
        <w:spacing w:before="0" w:after="18" w:line="250" w:lineRule="auto"/>
        <w:keepLines w:val="1"/>
      </w:pPr>
      <w:r>
        <w:rPr>
          <w:b w:val="0"/>
          <w:i w:val="0"/>
          <w:sz w:val="22"/>
        </w:rPr>
        <w:t>—  fake shock expressions;        —  countdown or alarm motifs;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84" w:after="48" w:line="250" w:lineRule="auto"/>
        <w:keepLines w:val="1"/>
        <w:keepNext w:val="1"/>
      </w:pPr>
      <w:r>
        <w:rPr>
          <w:b/>
          <w:i w:val="0"/>
          <w:color w:val="0F2346"/>
          <w:sz w:val="28"/>
        </w:rPr>
        <w:t>11.  Speaker-note update record</w:t>
      </w:r>
    </w:p>
    <w:p>
      <w:pPr>
        <w:spacing w:before="0" w:after="48" w:line="250" w:lineRule="auto"/>
      </w:pPr>
      <w:r>
        <w:rPr>
          <w:b w:val="0"/>
          <w:i w:val="0"/>
          <w:sz w:val="22"/>
        </w:rPr>
        <w:t>Both decks ship with speaker notes rewritten for the v3.0 direct-address script. Nothing on any slide was changed.</w:t>
      </w:r>
    </w:p>
    <w:p>
      <w:pPr>
        <w:spacing w:before="0" w:after="18" w:line="250" w:lineRule="auto"/>
        <w:keepLines w:val="1"/>
      </w:pPr>
      <w:r>
        <w:rPr>
          <w:b w:val="0"/>
          <w:i w:val="0"/>
          <w:sz w:val="22"/>
        </w:rPr>
        <w:t>—  Main deck: 11 notes parts rewritten, one per slide.</w:t>
      </w:r>
    </w:p>
    <w:p>
      <w:pPr>
        <w:spacing w:before="0" w:after="18" w:line="250" w:lineRule="auto"/>
        <w:keepLines w:val="1"/>
      </w:pPr>
      <w:r>
        <w:rPr>
          <w:b w:val="0"/>
          <w:i w:val="0"/>
          <w:sz w:val="22"/>
        </w:rPr>
        <w:t>—  Reveal deck: 26 notes parts rewritten, one per frame.</w:t>
      </w:r>
    </w:p>
    <w:p>
      <w:pPr>
        <w:spacing w:before="0" w:after="18" w:line="250" w:lineRule="auto"/>
        <w:keepLines w:val="1"/>
      </w:pPr>
      <w:r>
        <w:rPr>
          <w:b w:val="0"/>
          <w:i w:val="0"/>
          <w:sz w:val="22"/>
        </w:rPr>
        <w:t>—  Slide XML, geometry, typography, palette and media: unchanged.</w:t>
      </w:r>
    </w:p>
    <w:p>
      <w:pPr>
        <w:spacing w:before="0" w:after="18" w:line="250" w:lineRule="auto"/>
        <w:keepLines w:val="1"/>
      </w:pPr>
      <w:r>
        <w:rPr>
          <w:b w:val="0"/>
          <w:i w:val="0"/>
          <w:sz w:val="22"/>
        </w:rPr>
        <w:t>—  Timings are script-derived working estimates at 145 words per minute for the 1,355-word script.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