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 w:line="240" w:lineRule="auto"/>
      </w:pPr>
      <w:r>
        <w:rPr>
          <w:b/>
          <w:i w:val="0"/>
          <w:color w:val="9B2C10"/>
          <w:sz w:val="44"/>
        </w:rPr>
        <w:t>EDITOR ONLY</w:t>
      </w:r>
    </w:p>
    <w:p>
      <w:pPr>
        <w:spacing w:before="0" w:after="8" w:line="240" w:lineRule="auto"/>
      </w:pPr>
      <w:r>
        <w:rPr>
          <w:b/>
          <w:i w:val="0"/>
          <w:caps/>
          <w:color w:val="8A6D1E"/>
          <w:sz w:val="24"/>
        </w:rPr>
        <w:t>VIDEO 5  ·  v4.0</w:t>
      </w:r>
    </w:p>
    <w:p>
      <w:pPr>
        <w:spacing w:before="0" w:after="24" w:line="240" w:lineRule="auto"/>
      </w:pPr>
      <w:r>
        <w:rPr>
          <w:b/>
          <w:i w:val="0"/>
          <w:color w:val="0F2346"/>
          <w:sz w:val="40"/>
        </w:rPr>
        <w:t>Should I Make an Internal Move? 3 Questions to Decide</w:t>
      </w:r>
    </w:p>
    <w:p>
      <w:pPr>
        <w:spacing w:before="0" w:after="64" w:line="240" w:lineRule="auto"/>
        <w:shd w:val="clear" w:fill="F3F0E8"/>
      </w:pPr>
      <w:r>
        <w:rPr>
          <w:b w:val="0"/>
          <w:i/>
          <w:color w:val="5A6B82"/>
          <w:sz w:val="22"/>
        </w:rPr>
        <w:t>This document is for the editor. It is NOT Temidayo's teleprompter and must not be placed on the recording screen.</w:t>
      </w:r>
    </w:p>
    <w:p>
      <w:pPr>
        <w:spacing w:before="56" w:after="32" w:line="240" w:lineRule="auto"/>
        <w:keepLines w:val="1"/>
        <w:keepNext w:val="1"/>
      </w:pPr>
      <w:r>
        <w:rPr>
          <w:b/>
          <w:i w:val="0"/>
          <w:color w:val="0F2346"/>
          <w:sz w:val="28"/>
        </w:rPr>
        <w:t>1.  Locked metadata</w:t>
      </w:r>
    </w:p>
    <w:p>
      <w:pPr>
        <w:spacing w:before="0" w:after="20" w:line="240" w:lineRule="auto"/>
        <w:keepLines w:val="1"/>
      </w:pPr>
      <w:r>
        <w:rPr>
          <w:b w:val="0"/>
          <w:i w:val="0"/>
          <w:sz w:val="22"/>
        </w:rPr>
        <w:t>Title:                   Should I Make an Internal Move? 3 Questions to Decide</w:t>
      </w:r>
    </w:p>
    <w:p>
      <w:pPr>
        <w:spacing w:before="0" w:after="20" w:line="240" w:lineRule="auto"/>
        <w:keepLines w:val="1"/>
      </w:pPr>
      <w:r>
        <w:rPr>
          <w:b w:val="0"/>
          <w:i w:val="0"/>
          <w:sz w:val="22"/>
        </w:rPr>
        <w:t>Thumbnail:               YOU MAY NOT NEED TO LEAVE</w:t>
      </w:r>
    </w:p>
    <w:p>
      <w:pPr>
        <w:spacing w:before="0" w:after="20" w:line="240" w:lineRule="auto"/>
        <w:keepLines w:val="1"/>
      </w:pPr>
      <w:r>
        <w:rPr>
          <w:b w:val="0"/>
          <w:i w:val="0"/>
          <w:sz w:val="22"/>
        </w:rPr>
        <w:t>Primary search phrase:   should I make an internal move</w:t>
      </w:r>
    </w:p>
    <w:p>
      <w:pPr>
        <w:spacing w:before="0" w:after="20" w:line="240" w:lineRule="auto"/>
        <w:keepLines w:val="1"/>
      </w:pPr>
      <w:r>
        <w:rPr>
          <w:b w:val="0"/>
          <w:i w:val="0"/>
          <w:sz w:val="22"/>
        </w:rPr>
        <w:t>Format:                  Searchable decision + organizational mechanics</w:t>
      </w:r>
    </w:p>
    <w:p>
      <w:pPr>
        <w:spacing w:before="0" w:after="20" w:line="240" w:lineRule="auto"/>
        <w:keepLines w:val="1"/>
      </w:pPr>
      <w:r>
        <w:rPr>
          <w:b w:val="0"/>
          <w:i w:val="0"/>
          <w:sz w:val="22"/>
        </w:rPr>
        <w:t>Primary CTA:             Career Decision Evidence Check</w:t>
      </w:r>
    </w:p>
    <w:p>
      <w:pPr>
        <w:spacing w:before="0" w:after="20" w:line="240" w:lineRule="auto"/>
        <w:keepLines w:val="1"/>
      </w:pPr>
      <w:r>
        <w:rPr>
          <w:b w:val="0"/>
          <w:i w:val="0"/>
          <w:sz w:val="22"/>
        </w:rPr>
        <w:t>CTA URL:                 https://temidayoafonja.com/career-decisions</w:t>
      </w:r>
    </w:p>
    <w:p>
      <w:pPr>
        <w:spacing w:before="0" w:after="20" w:line="240" w:lineRule="auto"/>
        <w:keepLines w:val="1"/>
      </w:pPr>
      <w:r>
        <w:rPr>
          <w:b w:val="0"/>
          <w:i w:val="0"/>
          <w:sz w:val="22"/>
        </w:rPr>
        <w:t>Watch next:              Video 6 — Are You Growing—or Just Being Given More Work?</w:t>
      </w:r>
    </w:p>
    <w:p>
      <w:pPr>
        <w:spacing w:before="0" w:after="20" w:line="240" w:lineRule="auto"/>
        <w:keepLines w:val="1"/>
      </w:pPr>
      <w:r>
        <w:rPr>
          <w:b w:val="0"/>
          <w:i w:val="0"/>
          <w:sz w:val="22"/>
        </w:rPr>
        <w:t>Core distinction:        MOVEMENT IS NOT AUTOMATICALLY GROWTH.</w:t>
      </w:r>
    </w:p>
    <w:p>
      <w:pPr>
        <w:spacing w:before="0" w:after="20" w:line="240" w:lineRule="auto"/>
        <w:keepLines w:val="1"/>
      </w:pPr>
      <w:r>
        <w:rPr>
          <w:b w:val="0"/>
          <w:i w:val="0"/>
          <w:sz w:val="22"/>
        </w:rPr>
        <w:t>Memory device:           The three questions. No acronym, no second framework.</w:t>
      </w:r>
    </w:p>
    <w:p>
      <w:pPr>
        <w:spacing w:before="32" w:after="40" w:line="240" w:lineRule="auto"/>
        <w:shd w:val="clear" w:fill="F3F0E8"/>
        <w:keepLines w:val="1"/>
      </w:pPr>
      <w:r>
        <w:rPr>
          <w:b/>
          <w:i w:val="0"/>
          <w:color w:val="0F2346"/>
          <w:sz w:val="22"/>
        </w:rPr>
        <w:t>CTA PRODUCTION GATE: SATISFIED. The Career Decision Evidence Check page is live and the core production journey has been verified. Video 5 is NOT blocked on this CTA page. One normal signed-out link check is retained in the final upload SOP.</w:t>
      </w:r>
    </w:p>
    <w:p>
      <w:pPr>
        <w:spacing w:before="0" w:after="32" w:line="240" w:lineRule="auto"/>
        <w:keepLines w:val="1"/>
      </w:pPr>
      <w:r>
        <w:rPr>
          <w:b/>
          <w:i w:val="0"/>
          <w:color w:val="9B2C10"/>
          <w:sz w:val="22"/>
        </w:rPr>
        <w:t>Do not add CAR — it belongs to Video 6. Do not add the Career Evidence 3 Cs — they belong to the evidence method, not this decision video.</w:t>
      </w:r>
    </w:p>
    <w:p>
      <w:pPr>
        <w:spacing w:before="56" w:after="32" w:line="240" w:lineRule="auto"/>
        <w:keepLines w:val="1"/>
        <w:keepNext w:val="1"/>
      </w:pPr>
      <w:r>
        <w:rPr>
          <w:b/>
          <w:i w:val="0"/>
          <w:color w:val="0F2346"/>
          <w:sz w:val="28"/>
        </w:rPr>
        <w:t>2.  Direct-address register — the locked voice for v4.0</w:t>
      </w:r>
    </w:p>
    <w:p>
      <w:pPr>
        <w:spacing w:before="0" w:after="40" w:line="240" w:lineRule="auto"/>
        <w:shd w:val="clear" w:fill="F3F0E8"/>
        <w:keepLines w:val="1"/>
      </w:pPr>
      <w:r>
        <w:rPr>
          <w:b/>
          <w:i w:val="0"/>
          <w:color w:val="0F2346"/>
          <w:sz w:val="22"/>
        </w:rPr>
        <w:t>Temidayo is speaking to ONE experienced professional sitting across from her. Not a crowd, not a conference room, not an abstract audience. Every line was written to pass one test: would she naturally say this to one person sitting across the table?</w:t>
      </w:r>
    </w:p>
    <w:p>
      <w:pPr>
        <w:spacing w:before="40" w:after="20" w:line="240" w:lineRule="auto"/>
        <w:keepLines w:val="1"/>
        <w:keepNext w:val="1"/>
      </w:pPr>
      <w:r>
        <w:rPr>
          <w:b/>
          <w:i w:val="0"/>
          <w:color w:val="0F2346"/>
          <w:sz w:val="23"/>
        </w:rPr>
        <w:t>Editing should support intimacy</w:t>
      </w:r>
    </w:p>
    <w:p>
      <w:pPr>
        <w:spacing w:before="0" w:after="12" w:line="240" w:lineRule="auto"/>
        <w:keepLines w:val="1"/>
      </w:pPr>
      <w:r>
        <w:rPr>
          <w:b w:val="0"/>
          <w:i w:val="0"/>
          <w:sz w:val="22"/>
        </w:rPr>
        <w:t>—  hold direct eye contact where possible;</w:t>
      </w:r>
    </w:p>
    <w:p>
      <w:pPr>
        <w:spacing w:before="0" w:after="12" w:line="240" w:lineRule="auto"/>
        <w:keepLines w:val="1"/>
      </w:pPr>
      <w:r>
        <w:rPr>
          <w:b w:val="0"/>
          <w:i w:val="0"/>
          <w:sz w:val="22"/>
        </w:rPr>
        <w:t>—  avoid visual treatment that makes this feel like a keynote;</w:t>
      </w:r>
    </w:p>
    <w:p>
      <w:pPr>
        <w:spacing w:before="0" w:after="12" w:line="240" w:lineRule="auto"/>
        <w:keepLines w:val="1"/>
      </w:pPr>
      <w:r>
        <w:rPr>
          <w:b w:val="0"/>
          <w:i w:val="0"/>
          <w:sz w:val="22"/>
        </w:rPr>
        <w:t>—  do not overuse full-screen quote cards;</w:t>
      </w:r>
    </w:p>
    <w:p>
      <w:pPr>
        <w:spacing w:before="0" w:after="12" w:line="240" w:lineRule="auto"/>
        <w:keepLines w:val="1"/>
      </w:pPr>
      <w:r>
        <w:rPr>
          <w:b w:val="0"/>
          <w:i w:val="0"/>
          <w:sz w:val="22"/>
        </w:rPr>
        <w:t>—  let direct questions remain attached to Temidayo's face;</w:t>
      </w:r>
    </w:p>
    <w:p>
      <w:pPr>
        <w:spacing w:before="0" w:after="12" w:line="240" w:lineRule="auto"/>
        <w:keepLines w:val="1"/>
      </w:pPr>
      <w:r>
        <w:rPr>
          <w:b w:val="0"/>
          <w:i w:val="0"/>
          <w:sz w:val="22"/>
        </w:rPr>
        <w:t>—  use the slides to carry structure, not personality;</w:t>
      </w:r>
    </w:p>
    <w:p>
      <w:pPr>
        <w:spacing w:before="0" w:after="12" w:line="240" w:lineRule="auto"/>
        <w:keepLines w:val="1"/>
      </w:pPr>
      <w:r>
        <w:rPr>
          <w:b w:val="0"/>
          <w:i w:val="0"/>
          <w:sz w:val="22"/>
        </w:rPr>
        <w:t>—  keep the organizational layer translated back to the viewer.</w:t>
      </w:r>
    </w:p>
    <w:p>
      <w:pPr>
        <w:spacing w:before="40" w:after="20" w:line="240" w:lineRule="auto"/>
        <w:keepLines w:val="1"/>
        <w:keepNext w:val="1"/>
      </w:pPr>
      <w:r>
        <w:rPr>
          <w:b/>
          <w:i w:val="0"/>
          <w:color w:val="0F2346"/>
          <w:sz w:val="23"/>
        </w:rPr>
        <w:t>Key relational beats — do not cut these as filler</w:t>
      </w:r>
    </w:p>
    <w:p>
      <w:pPr>
        <w:spacing w:before="0" w:after="20" w:line="240" w:lineRule="auto"/>
        <w:keepLines w:val="1"/>
      </w:pPr>
      <w:r>
        <w:rPr>
          <w:b w:val="0"/>
          <w:i w:val="0"/>
          <w:sz w:val="21"/>
        </w:rPr>
        <w:t>“Let me show you what this looked like for me.”</w:t>
      </w:r>
    </w:p>
    <w:p>
      <w:pPr>
        <w:spacing w:before="0" w:after="20" w:line="240" w:lineRule="auto"/>
        <w:keepLines w:val="1"/>
      </w:pPr>
      <w:r>
        <w:rPr>
          <w:b w:val="0"/>
          <w:i w:val="0"/>
          <w:sz w:val="21"/>
        </w:rPr>
        <w:t>“I want to help you test yours the same way.”</w:t>
      </w:r>
    </w:p>
    <w:p>
      <w:pPr>
        <w:spacing w:before="0" w:after="20" w:line="240" w:lineRule="auto"/>
        <w:keepLines w:val="1"/>
      </w:pPr>
      <w:r>
        <w:rPr>
          <w:b w:val="0"/>
          <w:i w:val="0"/>
          <w:sz w:val="21"/>
        </w:rPr>
        <w:t>“And I want to help you do the same here.”</w:t>
      </w:r>
    </w:p>
    <w:p>
      <w:pPr>
        <w:spacing w:before="0" w:after="20" w:line="240" w:lineRule="auto"/>
        <w:keepLines w:val="1"/>
      </w:pPr>
      <w:r>
        <w:rPr>
          <w:b w:val="0"/>
          <w:i w:val="0"/>
          <w:sz w:val="21"/>
        </w:rPr>
        <w:t>“So here is what I would ask you.”</w:t>
      </w:r>
    </w:p>
    <w:p>
      <w:pPr>
        <w:spacing w:before="0" w:after="20" w:line="240" w:lineRule="auto"/>
        <w:keepLines w:val="1"/>
      </w:pPr>
      <w:r>
        <w:rPr>
          <w:b w:val="0"/>
          <w:i w:val="0"/>
          <w:sz w:val="21"/>
        </w:rPr>
        <w:t>“I want you to compare which option gives you meaningful access…”</w:t>
      </w:r>
    </w:p>
    <w:p>
      <w:pPr>
        <w:spacing w:before="0" w:after="40" w:line="240" w:lineRule="auto"/>
        <w:shd w:val="clear" w:fill="F3F0E8"/>
        <w:keepLines w:val="1"/>
      </w:pPr>
      <w:r>
        <w:rPr>
          <w:b/>
          <w:i w:val="0"/>
          <w:color w:val="9B2C10"/>
          <w:sz w:val="22"/>
        </w:rPr>
        <w:t>They are part of the viewer relationship, not padding. Do not trim them for pace, and do not let a graphic cover Temidayo while she says one.</w:t>
      </w:r>
    </w:p>
    <w:p>
      <w:pPr>
        <w:spacing w:before="0" w:after="32" w:line="240" w:lineRule="auto"/>
        <w:keepLines w:val="1"/>
      </w:pPr>
      <w:r>
        <w:rPr>
          <w:b w:val="0"/>
          <w:i w:val="0"/>
          <w:sz w:val="22"/>
        </w:rPr>
        <w:t>“Experienced professionals” appears once, in the channel-positioning sentence, and the script returns immediately to “you.” Do not reintroduce detached phrasing — “some people,” “professionals often,” “people may,” “a person should” — anywhere in the edit, the captions or the on-screen text.</w:t>
      </w:r>
    </w:p>
    <w:p>
      <w:pPr>
        <w:spacing w:before="56" w:after="32" w:line="240" w:lineRule="auto"/>
        <w:keepLines w:val="1"/>
        <w:keepNext w:val="1"/>
      </w:pPr>
      <w:r>
        <w:rPr>
          <w:b/>
          <w:i w:val="0"/>
          <w:color w:val="0F2346"/>
          <w:sz w:val="28"/>
        </w:rPr>
        <w:t>3.  First 30 seconds — H.I.T. map</w:t>
      </w:r>
    </w:p>
    <w:p>
      <w:pPr>
        <w:spacing w:before="0" w:after="32" w:line="240" w:lineRule="auto"/>
      </w:pPr>
      <w:r>
        <w:rPr>
          <w:b w:val="0"/>
          <w:i w:val="0"/>
          <w:sz w:val="22"/>
        </w:rPr>
        <w:t>H = Hook. I = Interest. T = Trust. The opening must work as one audiovisual unit: immediate conversational hook, meaningful visual interest, relevant lived proof, and a clear viewer payoff by 30 seconds. No generic welcome before the promise. No title card first.</w:t>
      </w:r>
    </w:p>
    <w:p>
      <w:pPr>
        <w:spacing w:before="40" w:after="20" w:line="240" w:lineRule="auto"/>
        <w:keepLines w:val="1"/>
        <w:keepNext w:val="1"/>
      </w:pPr>
      <w:r>
        <w:rPr>
          <w:b/>
          <w:i w:val="0"/>
          <w:color w:val="0F2346"/>
          <w:sz w:val="23"/>
        </w:rPr>
        <w:t>0:00–0:05</w:t>
      </w:r>
    </w:p>
    <w:p>
      <w:pPr>
        <w:spacing w:before="0" w:after="32" w:line="240" w:lineRule="auto"/>
        <w:shd w:val="clear" w:fill="F3F0E8"/>
      </w:pPr>
      <w:r>
        <w:rPr>
          <w:b w:val="0"/>
          <w:i/>
          <w:color w:val="5A6B82"/>
          <w:sz w:val="21"/>
        </w:rPr>
        <w:t>Spoken anchor:  “You may not need to leave your company.”</w:t>
      </w:r>
    </w:p>
    <w:p>
      <w:pPr>
        <w:spacing w:before="0" w:after="24" w:line="240" w:lineRule="auto"/>
        <w:keepLines w:val="1"/>
      </w:pPr>
      <w:r>
        <w:rPr>
          <w:b/>
          <w:i w:val="0"/>
          <w:color w:val="8A6D1E"/>
          <w:sz w:val="22"/>
        </w:rPr>
        <w:t>H = HOOK</w:t>
      </w:r>
    </w:p>
    <w:p>
      <w:pPr>
        <w:spacing w:before="0" w:after="20" w:line="240" w:lineRule="auto"/>
        <w:keepLines w:val="1"/>
      </w:pPr>
      <w:r>
        <w:rPr>
          <w:b w:val="0"/>
          <w:i w:val="0"/>
          <w:sz w:val="22"/>
        </w:rPr>
        <w:t>Visual: direct to camera.</w:t>
      </w:r>
    </w:p>
    <w:p>
      <w:pPr>
        <w:spacing w:before="0" w:after="20" w:line="240" w:lineRule="auto"/>
        <w:keepLines w:val="1"/>
      </w:pPr>
      <w:r>
        <w:rPr>
          <w:b w:val="0"/>
          <w:i w:val="0"/>
          <w:sz w:val="22"/>
        </w:rPr>
        <w:t>On-screen text:  YOU MAY NOT NEED TO LEAVE</w:t>
      </w:r>
    </w:p>
    <w:p>
      <w:pPr>
        <w:spacing w:before="0" w:after="20" w:line="240" w:lineRule="auto"/>
        <w:keepLines w:val="1"/>
      </w:pPr>
      <w:r>
        <w:rPr>
          <w:b w:val="0"/>
          <w:i w:val="0"/>
          <w:sz w:val="22"/>
        </w:rPr>
        <w:t>No title card before this.</w:t>
      </w:r>
    </w:p>
    <w:p>
      <w:pPr>
        <w:spacing w:before="40" w:after="20" w:line="240" w:lineRule="auto"/>
        <w:keepLines w:val="1"/>
        <w:keepNext w:val="1"/>
      </w:pPr>
      <w:r>
        <w:rPr>
          <w:b/>
          <w:i w:val="0"/>
          <w:color w:val="0F2346"/>
          <w:sz w:val="23"/>
        </w:rPr>
        <w:t>0:05–0:10</w:t>
      </w:r>
    </w:p>
    <w:p>
      <w:pPr>
        <w:spacing w:before="0" w:after="32" w:line="240" w:lineRule="auto"/>
        <w:shd w:val="clear" w:fill="F3F0E8"/>
      </w:pPr>
      <w:r>
        <w:rPr>
          <w:b w:val="0"/>
          <w:i/>
          <w:color w:val="5A6B82"/>
          <w:sz w:val="21"/>
        </w:rPr>
        <w:t>Spoken anchor:  “You may need access to work your current role is not giving you yet.”</w:t>
      </w:r>
    </w:p>
    <w:p>
      <w:pPr>
        <w:spacing w:before="0" w:after="24" w:line="240" w:lineRule="auto"/>
        <w:keepLines w:val="1"/>
      </w:pPr>
      <w:r>
        <w:rPr>
          <w:b/>
          <w:i w:val="0"/>
          <w:color w:val="8A6D1E"/>
          <w:sz w:val="22"/>
        </w:rPr>
        <w:t>I = INTEREST</w:t>
      </w:r>
    </w:p>
    <w:p>
      <w:pPr>
        <w:spacing w:before="0" w:after="20" w:line="240" w:lineRule="auto"/>
        <w:keepLines w:val="1"/>
      </w:pPr>
      <w:r>
        <w:rPr>
          <w:b w:val="0"/>
          <w:i w:val="0"/>
          <w:sz w:val="22"/>
        </w:rPr>
        <w:t>On-screen:  SAME COMPANY  /  DIFFERENT WORK</w:t>
      </w:r>
    </w:p>
    <w:p>
      <w:pPr>
        <w:spacing w:before="0" w:after="20" w:line="240" w:lineRule="auto"/>
        <w:keepLines w:val="1"/>
      </w:pPr>
      <w:r>
        <w:rPr>
          <w:b w:val="0"/>
          <w:i w:val="0"/>
          <w:sz w:val="22"/>
        </w:rPr>
        <w:t>Keep it restrained. No office-building stock footage. No transfer arrows.</w:t>
      </w:r>
    </w:p>
    <w:p>
      <w:pPr>
        <w:spacing w:before="40" w:after="20" w:line="240" w:lineRule="auto"/>
        <w:keepLines w:val="1"/>
        <w:keepNext w:val="1"/>
      </w:pPr>
      <w:r>
        <w:rPr>
          <w:b/>
          <w:i w:val="0"/>
          <w:color w:val="0F2346"/>
          <w:sz w:val="23"/>
        </w:rPr>
        <w:t>0:10–0:21</w:t>
      </w:r>
    </w:p>
    <w:p>
      <w:pPr>
        <w:spacing w:before="0" w:after="32" w:line="240" w:lineRule="auto"/>
        <w:shd w:val="clear" w:fill="F3F0E8"/>
      </w:pPr>
      <w:r>
        <w:rPr>
          <w:b w:val="0"/>
          <w:i/>
          <w:color w:val="5A6B82"/>
          <w:sz w:val="21"/>
        </w:rPr>
        <w:t>Spoken anchor:  “Let me show you what this looked like for me. About six months after I returned from maternity leave in one chapter of my career, my scope expanded beyond the original box of the role.”</w:t>
      </w:r>
    </w:p>
    <w:p>
      <w:pPr>
        <w:spacing w:before="0" w:after="24" w:line="240" w:lineRule="auto"/>
        <w:keepLines w:val="1"/>
      </w:pPr>
      <w:r>
        <w:rPr>
          <w:b/>
          <w:i w:val="0"/>
          <w:color w:val="8A6D1E"/>
          <w:sz w:val="22"/>
        </w:rPr>
        <w:t>T = TRUST</w:t>
      </w:r>
    </w:p>
    <w:p>
      <w:pPr>
        <w:spacing w:before="0" w:after="20" w:line="240" w:lineRule="auto"/>
        <w:keepLines w:val="1"/>
      </w:pPr>
      <w:r>
        <w:rPr>
          <w:b w:val="0"/>
          <w:i w:val="0"/>
          <w:sz w:val="22"/>
        </w:rPr>
        <w:t>Visual progression:  MORE WORK?  then  DIFFERENT WORK</w:t>
      </w:r>
    </w:p>
    <w:p>
      <w:pPr>
        <w:spacing w:before="0" w:after="20" w:line="240" w:lineRule="auto"/>
        <w:keepLines w:val="1"/>
      </w:pPr>
      <w:r>
        <w:rPr>
          <w:b w:val="0"/>
          <w:i w:val="0"/>
          <w:sz w:val="22"/>
        </w:rPr>
        <w:t>“Let me show you what this looked like for me” is the line that turns the video from advice into a conversation. Stay on Temidayo's face for it and do not cover it with a graphic.</w:t>
      </w:r>
    </w:p>
    <w:p>
      <w:pPr>
        <w:spacing w:before="0" w:after="20" w:line="240" w:lineRule="auto"/>
        <w:keepLines w:val="1"/>
      </w:pPr>
      <w:r>
        <w:rPr>
          <w:b w:val="0"/>
          <w:i w:val="0"/>
          <w:sz w:val="22"/>
        </w:rPr>
        <w:t>Do not use family or maternity stock imagery. Do not dramatize the maternity reference.</w:t>
      </w:r>
    </w:p>
    <w:p>
      <w:pPr>
        <w:spacing w:before="40" w:after="20" w:line="240" w:lineRule="auto"/>
        <w:keepLines w:val="1"/>
        <w:keepNext w:val="1"/>
      </w:pPr>
      <w:r>
        <w:rPr>
          <w:b/>
          <w:i w:val="0"/>
          <w:color w:val="0F2346"/>
          <w:sz w:val="23"/>
        </w:rPr>
        <w:t>0:21–0:30</w:t>
      </w:r>
    </w:p>
    <w:p>
      <w:pPr>
        <w:spacing w:before="0" w:after="32" w:line="240" w:lineRule="auto"/>
        <w:shd w:val="clear" w:fill="F3F0E8"/>
      </w:pPr>
      <w:r>
        <w:rPr>
          <w:b w:val="0"/>
          <w:i/>
          <w:color w:val="5A6B82"/>
          <w:sz w:val="21"/>
        </w:rPr>
        <w:t>Spoken anchor:  “That changed how I think about internal moves, and I want to help you test yours the same way.”</w:t>
      </w:r>
    </w:p>
    <w:p>
      <w:pPr>
        <w:spacing w:before="0" w:after="24" w:line="240" w:lineRule="auto"/>
        <w:keepLines w:val="1"/>
      </w:pPr>
      <w:r>
        <w:rPr>
          <w:b/>
          <w:i w:val="0"/>
          <w:color w:val="8A6D1E"/>
          <w:sz w:val="22"/>
        </w:rPr>
        <w:t>PAYOFF</w:t>
      </w:r>
    </w:p>
    <w:p>
      <w:pPr>
        <w:spacing w:before="0" w:after="20" w:line="240" w:lineRule="auto"/>
        <w:keepLines w:val="1"/>
      </w:pPr>
      <w:r>
        <w:rPr>
          <w:b w:val="0"/>
          <w:i w:val="0"/>
          <w:sz w:val="22"/>
        </w:rPr>
        <w:t>Progressively reveal:</w:t>
      </w:r>
    </w:p>
    <w:p>
      <w:pPr>
        <w:spacing w:before="0" w:after="20" w:line="240" w:lineRule="auto"/>
        <w:keepLines w:val="1"/>
      </w:pPr>
      <w:r>
        <w:rPr>
          <w:b w:val="0"/>
          <w:i w:val="0"/>
          <w:sz w:val="22"/>
        </w:rPr>
        <w:t xml:space="preserve">     WILL THE WORK CHANGE?</w:t>
      </w:r>
    </w:p>
    <w:p>
      <w:pPr>
        <w:spacing w:before="0" w:after="20" w:line="240" w:lineRule="auto"/>
        <w:keepLines w:val="1"/>
      </w:pPr>
      <w:r>
        <w:rPr>
          <w:b w:val="0"/>
          <w:i w:val="0"/>
          <w:sz w:val="22"/>
        </w:rPr>
        <w:t xml:space="preserve">     WILL YOUR JUDGMENT EXPAND?</w:t>
      </w:r>
    </w:p>
    <w:p>
      <w:pPr>
        <w:spacing w:before="0" w:after="20" w:line="240" w:lineRule="auto"/>
        <w:keepLines w:val="1"/>
      </w:pPr>
      <w:r>
        <w:rPr>
          <w:b w:val="0"/>
          <w:i w:val="0"/>
          <w:sz w:val="22"/>
        </w:rPr>
        <w:t xml:space="preserve">     WILL THE EVIDENCE TRAVEL?</w:t>
      </w:r>
    </w:p>
    <w:p>
      <w:pPr>
        <w:spacing w:before="0" w:after="20" w:line="240" w:lineRule="auto"/>
        <w:keepLines w:val="1"/>
      </w:pPr>
      <w:r>
        <w:rPr>
          <w:b w:val="0"/>
          <w:i w:val="0"/>
          <w:sz w:val="22"/>
        </w:rPr>
        <w:t>Viewer payoff is clear by 30 seconds. Then move into the deck.</w:t>
      </w:r>
    </w:p>
    <w:p>
      <w:pPr>
        <w:spacing w:before="56" w:after="32" w:line="240" w:lineRule="auto"/>
        <w:keepLines w:val="1"/>
        <w:keepNext w:val="1"/>
      </w:pPr>
      <w:r>
        <w:rPr>
          <w:b/>
          <w:i w:val="0"/>
          <w:color w:val="0F2346"/>
          <w:sz w:val="28"/>
        </w:rPr>
        <w:t>4.  The organizational-mechanics purpose of this video</w:t>
      </w:r>
    </w:p>
    <w:p>
      <w:pPr>
        <w:spacing w:before="0" w:after="32" w:line="240" w:lineRule="auto"/>
      </w:pPr>
      <w:r>
        <w:rPr>
          <w:b w:val="0"/>
          <w:i w:val="0"/>
          <w:sz w:val="22"/>
        </w:rPr>
        <w:t>This video must not feel like “three tips for getting an internal job.” It should feel like: “Temidayo is teaching me how to read what an internal opportunity is actually designed to give me.”</w:t>
      </w:r>
    </w:p>
    <w:p>
      <w:pPr>
        <w:spacing w:before="0" w:after="40" w:line="240" w:lineRule="auto"/>
      </w:pPr>
      <w:r>
        <w:rPr>
          <w:b w:val="0"/>
          <w:i w:val="0"/>
          <w:sz w:val="22"/>
        </w:rPr>
        <w:t>Use the employee + organization dual perspective throughout, and keep it addressed to the viewer. An internal move is not only a decision the viewer makes; it is also a decision about what work, context, judgment and ownership the organization is willing to entrust to them. Do not turn the organizational layer into HR jargon or enterprise commentary that leaves the viewer behind, and do not let it drift into third person.</w:t>
      </w:r>
    </w:p>
    <w:p>
      <w:pPr>
        <w:spacing w:before="40" w:after="20" w:line="240" w:lineRule="auto"/>
        <w:keepLines w:val="1"/>
        <w:keepNext w:val="1"/>
      </w:pPr>
      <w:r>
        <w:rPr>
          <w:b/>
          <w:i w:val="0"/>
          <w:color w:val="0F2346"/>
          <w:sz w:val="23"/>
        </w:rPr>
        <w:t>Lines to let breathe</w:t>
      </w:r>
    </w:p>
    <w:p>
      <w:pPr>
        <w:spacing w:before="0" w:after="24" w:line="240" w:lineRule="auto"/>
        <w:keepLines w:val="1"/>
      </w:pPr>
      <w:r>
        <w:rPr>
          <w:b w:val="0"/>
          <w:i w:val="0"/>
          <w:sz w:val="21"/>
        </w:rPr>
        <w:t>“An internal move is not only a decision you make. It is also a decision about what your organization is actually willing to trust you to do next.”</w:t>
      </w:r>
    </w:p>
    <w:p>
      <w:pPr>
        <w:spacing w:before="0" w:after="24" w:line="240" w:lineRule="auto"/>
        <w:keepLines w:val="1"/>
      </w:pPr>
      <w:r>
        <w:rPr>
          <w:b w:val="0"/>
          <w:i w:val="0"/>
          <w:sz w:val="21"/>
        </w:rPr>
        <w:t>“You can be deeply valued in your current role and still find that people struggle to picture you somewhere else.”</w:t>
      </w:r>
    </w:p>
    <w:p>
      <w:pPr>
        <w:spacing w:before="0" w:after="24" w:line="240" w:lineRule="auto"/>
        <w:keepLines w:val="1"/>
      </w:pPr>
      <w:r>
        <w:rPr>
          <w:b w:val="0"/>
          <w:i w:val="0"/>
          <w:sz w:val="21"/>
        </w:rPr>
        <w:t>“The problem may not be your capability. It may be whether people can see you beyond the work they already know you for.”</w:t>
      </w:r>
    </w:p>
    <w:p>
      <w:pPr>
        <w:spacing w:before="0" w:after="24" w:line="240" w:lineRule="auto"/>
        <w:keepLines w:val="1"/>
      </w:pPr>
      <w:r>
        <w:rPr>
          <w:b w:val="0"/>
          <w:i w:val="0"/>
          <w:sz w:val="21"/>
        </w:rPr>
        <w:t>“A stretch opportunity becomes developmental when you are trusted with more judgment, not simply handed more volume.”</w:t>
      </w:r>
    </w:p>
    <w:p>
      <w:pPr>
        <w:spacing w:before="0" w:after="24" w:line="240" w:lineRule="auto"/>
        <w:keepLines w:val="1"/>
      </w:pPr>
      <w:r>
        <w:rPr>
          <w:b w:val="0"/>
          <w:i w:val="0"/>
          <w:sz w:val="21"/>
        </w:rPr>
        <w:t>“Because you can be capable and still end up in a poorly designed role.”</w:t>
      </w:r>
    </w:p>
    <w:p>
      <w:pPr>
        <w:spacing w:before="0" w:after="32" w:line="240" w:lineRule="auto"/>
        <w:shd w:val="clear" w:fill="F3F0E8"/>
        <w:keepLines w:val="1"/>
      </w:pPr>
      <w:r>
        <w:rPr>
          <w:b/>
          <w:i w:val="0"/>
          <w:color w:val="9B2C10"/>
          <w:sz w:val="22"/>
        </w:rPr>
        <w:t>Do not convert these into motivational quote cards. Restrained text emphasis only, where it is genuinely useful.</w:t>
      </w:r>
    </w:p>
    <w:p>
      <w:pPr>
        <w:spacing w:before="48" w:after="20" w:line="240" w:lineRule="auto"/>
        <w:keepLines w:val="1"/>
        <w:keepNext w:val="1"/>
      </w:pPr>
      <w:r>
        <w:rPr>
          <w:b/>
          <w:i w:val="0"/>
          <w:color w:val="0F2346"/>
          <w:sz w:val="23"/>
        </w:rPr>
        <w:t>First-30-second audit table</w:t>
      </w:r>
    </w:p>
    <w:p>
      <w:pPr>
        <w:spacing w:before="0" w:after="32" w:line="240" w:lineRule="auto"/>
        <w:keepLines w:val="1"/>
      </w:pPr>
      <w:r>
        <w:rPr>
          <w:b w:val="0"/>
          <w:i/>
          <w:color w:val="5A6B82"/>
          <w:sz w:val="21"/>
        </w:rPr>
        <w:t>Audited against the v4.0 standard. The v3.1 direct-address opening passed on every criterion, so it is carried forward unchanged.</w:t>
      </w:r>
    </w:p>
    <w:tbl>
      <w:tblPr>
        <w:tblStyle w:val="TableGrid"/>
        <w:tblW w:type="auto" w:w="0"/>
        <w:jc w:val="left"/>
        <w:tblLook w:firstColumn="1" w:firstRow="1" w:lastColumn="0" w:lastRow="0" w:noHBand="0" w:noVBand="1" w:val="04A0"/>
      </w:tblPr>
      <w:tblGrid>
        <w:gridCol w:w="1317"/>
        <w:gridCol w:w="1317"/>
        <w:gridCol w:w="1317"/>
        <w:gridCol w:w="1317"/>
        <w:gridCol w:w="1317"/>
        <w:gridCol w:w="1317"/>
        <w:gridCol w:w="1317"/>
      </w:tblGrid>
      <w:tr>
        <w:tc>
          <w:tcPr>
            <w:tcW w:type="dxa" w:w="749"/>
          </w:tcPr>
          <w:p>
            <w:pPr>
              <w:spacing w:after="40"/>
              <w:shd w:val="clear" w:fill="E8EDF4"/>
            </w:pPr>
            <w:r/>
            <w:r>
              <w:rPr>
                <w:b/>
                <w:color w:val="0F2346"/>
                <w:sz w:val="16"/>
              </w:rPr>
              <w:t>Time</w:t>
            </w:r>
          </w:p>
        </w:tc>
        <w:tc>
          <w:tcPr>
            <w:tcW w:type="dxa" w:w="2333"/>
          </w:tcPr>
          <w:p>
            <w:pPr>
              <w:spacing w:after="40"/>
              <w:shd w:val="clear" w:fill="E8EDF4"/>
            </w:pPr>
            <w:r/>
            <w:r>
              <w:rPr>
                <w:b/>
                <w:color w:val="0F2346"/>
                <w:sz w:val="16"/>
              </w:rPr>
              <w:t>Exact spoken line</w:t>
            </w:r>
          </w:p>
        </w:tc>
        <w:tc>
          <w:tcPr>
            <w:tcW w:type="dxa" w:w="1325"/>
          </w:tcPr>
          <w:p>
            <w:pPr>
              <w:spacing w:after="40"/>
              <w:shd w:val="clear" w:fill="E8EDF4"/>
            </w:pPr>
            <w:r/>
            <w:r>
              <w:rPr>
                <w:b/>
                <w:color w:val="0F2346"/>
                <w:sz w:val="16"/>
              </w:rPr>
              <w:t>Verbal hook job</w:t>
            </w:r>
          </w:p>
        </w:tc>
        <w:tc>
          <w:tcPr>
            <w:tcW w:type="dxa" w:w="1512"/>
          </w:tcPr>
          <w:p>
            <w:pPr>
              <w:spacing w:after="40"/>
              <w:shd w:val="clear" w:fill="E8EDF4"/>
            </w:pPr>
            <w:r/>
            <w:r>
              <w:rPr>
                <w:b/>
                <w:color w:val="0F2346"/>
                <w:sz w:val="16"/>
              </w:rPr>
              <w:t>On-screen hook</w:t>
            </w:r>
          </w:p>
        </w:tc>
        <w:tc>
          <w:tcPr>
            <w:tcW w:type="dxa" w:w="1584"/>
          </w:tcPr>
          <w:p>
            <w:pPr>
              <w:spacing w:after="40"/>
              <w:shd w:val="clear" w:fill="E8EDF4"/>
            </w:pPr>
            <w:r/>
            <w:r>
              <w:rPr>
                <w:b/>
                <w:color w:val="0F2346"/>
                <w:sz w:val="16"/>
              </w:rPr>
              <w:t>Visual / editor cue</w:t>
            </w:r>
          </w:p>
        </w:tc>
        <w:tc>
          <w:tcPr>
            <w:tcW w:type="dxa" w:w="1325"/>
          </w:tcPr>
          <w:p>
            <w:pPr>
              <w:spacing w:after="40"/>
              <w:shd w:val="clear" w:fill="E8EDF4"/>
            </w:pPr>
            <w:r/>
            <w:r>
              <w:rPr>
                <w:b/>
                <w:color w:val="0F2346"/>
                <w:sz w:val="16"/>
              </w:rPr>
              <w:t>Trust / proof beat</w:t>
            </w:r>
          </w:p>
        </w:tc>
        <w:tc>
          <w:tcPr>
            <w:tcW w:type="dxa" w:w="1397"/>
          </w:tcPr>
          <w:p>
            <w:pPr>
              <w:spacing w:after="40"/>
              <w:shd w:val="clear" w:fill="E8EDF4"/>
            </w:pPr>
            <w:r/>
            <w:r>
              <w:rPr>
                <w:b/>
                <w:color w:val="0F2346"/>
                <w:sz w:val="16"/>
              </w:rPr>
              <w:t>Viewer payoff</w:t>
            </w:r>
          </w:p>
        </w:tc>
      </w:tr>
      <w:tr>
        <w:tc>
          <w:tcPr>
            <w:tcW w:type="dxa" w:w="749"/>
          </w:tcPr>
          <w:p>
            <w:pPr>
              <w:spacing w:after="40" w:line="252" w:lineRule="auto"/>
            </w:pPr>
            <w:r/>
            <w:r>
              <w:rPr>
                <w:sz w:val="16"/>
              </w:rPr>
              <w:t>0:00–0:05</w:t>
            </w:r>
          </w:p>
        </w:tc>
        <w:tc>
          <w:tcPr>
            <w:tcW w:type="dxa" w:w="2333"/>
          </w:tcPr>
          <w:p>
            <w:pPr>
              <w:spacing w:after="40" w:line="252" w:lineRule="auto"/>
            </w:pPr>
            <w:r/>
            <w:r>
              <w:rPr>
                <w:sz w:val="16"/>
              </w:rPr>
              <w:t>“You may not need to leave your company.”</w:t>
            </w:r>
          </w:p>
        </w:tc>
        <w:tc>
          <w:tcPr>
            <w:tcW w:type="dxa" w:w="1325"/>
          </w:tcPr>
          <w:p>
            <w:pPr>
              <w:spacing w:after="40" w:line="252" w:lineRule="auto"/>
            </w:pPr>
            <w:r/>
            <w:r>
              <w:rPr>
                <w:sz w:val="16"/>
              </w:rPr>
              <w:t>Surprising but defensible statement against the obvious answer.</w:t>
            </w:r>
          </w:p>
        </w:tc>
        <w:tc>
          <w:tcPr>
            <w:tcW w:type="dxa" w:w="1512"/>
          </w:tcPr>
          <w:p>
            <w:pPr>
              <w:spacing w:after="40" w:line="252" w:lineRule="auto"/>
            </w:pPr>
            <w:r/>
            <w:r>
              <w:rPr>
                <w:sz w:val="16"/>
              </w:rPr>
              <w:t>YOU MAY NOT NEED TO LEAVE</w:t>
            </w:r>
          </w:p>
        </w:tc>
        <w:tc>
          <w:tcPr>
            <w:tcW w:type="dxa" w:w="1584"/>
          </w:tcPr>
          <w:p>
            <w:pPr>
              <w:spacing w:after="40" w:line="252" w:lineRule="auto"/>
            </w:pPr>
            <w:r/>
            <w:r>
              <w:rPr>
                <w:sz w:val="16"/>
              </w:rPr>
              <w:t>Direct to camera. No title card before this.</w:t>
            </w:r>
          </w:p>
        </w:tc>
        <w:tc>
          <w:tcPr>
            <w:tcW w:type="dxa" w:w="1325"/>
          </w:tcPr>
          <w:p>
            <w:pPr>
              <w:spacing w:after="40" w:line="252" w:lineRule="auto"/>
            </w:pPr>
            <w:r/>
            <w:r>
              <w:rPr>
                <w:sz w:val="16"/>
              </w:rPr>
              <w:t>Stated as her considered position, not a slogan.</w:t>
            </w:r>
          </w:p>
        </w:tc>
        <w:tc>
          <w:tcPr>
            <w:tcW w:type="dxa" w:w="1397"/>
          </w:tcPr>
          <w:p>
            <w:pPr>
              <w:spacing w:after="40" w:line="252" w:lineRule="auto"/>
            </w:pPr>
            <w:r/>
            <w:r>
              <w:rPr>
                <w:sz w:val="16"/>
              </w:rPr>
              <w:t>The viewer hears that leaving may not be the only option.</w:t>
            </w:r>
          </w:p>
        </w:tc>
      </w:tr>
      <w:tr>
        <w:tc>
          <w:tcPr>
            <w:tcW w:type="dxa" w:w="749"/>
          </w:tcPr>
          <w:p>
            <w:pPr>
              <w:spacing w:after="40" w:line="252" w:lineRule="auto"/>
            </w:pPr>
            <w:r/>
            <w:r>
              <w:rPr>
                <w:sz w:val="16"/>
              </w:rPr>
              <w:t>0:05–0:10</w:t>
            </w:r>
          </w:p>
        </w:tc>
        <w:tc>
          <w:tcPr>
            <w:tcW w:type="dxa" w:w="2333"/>
          </w:tcPr>
          <w:p>
            <w:pPr>
              <w:spacing w:after="40" w:line="252" w:lineRule="auto"/>
            </w:pPr>
            <w:r/>
            <w:r>
              <w:rPr>
                <w:sz w:val="16"/>
              </w:rPr>
              <w:t>“You may need access to work your current role is not giving you yet.”</w:t>
            </w:r>
          </w:p>
        </w:tc>
        <w:tc>
          <w:tcPr>
            <w:tcW w:type="dxa" w:w="1325"/>
          </w:tcPr>
          <w:p>
            <w:pPr>
              <w:spacing w:after="40" w:line="252" w:lineRule="auto"/>
            </w:pPr>
            <w:r/>
            <w:r>
              <w:rPr>
                <w:sz w:val="16"/>
              </w:rPr>
              <w:t>Reframes the problem as access, not employer.</w:t>
            </w:r>
          </w:p>
        </w:tc>
        <w:tc>
          <w:tcPr>
            <w:tcW w:type="dxa" w:w="1512"/>
          </w:tcPr>
          <w:p>
            <w:pPr>
              <w:spacing w:after="40" w:line="252" w:lineRule="auto"/>
            </w:pPr>
            <w:r/>
            <w:r>
              <w:rPr>
                <w:sz w:val="16"/>
              </w:rPr>
              <w:t>SAME COMPANY / DIFFERENT WORK</w:t>
            </w:r>
          </w:p>
        </w:tc>
        <w:tc>
          <w:tcPr>
            <w:tcW w:type="dxa" w:w="1584"/>
          </w:tcPr>
          <w:p>
            <w:pPr>
              <w:spacing w:after="40" w:line="252" w:lineRule="auto"/>
            </w:pPr>
            <w:r/>
            <w:r>
              <w:rPr>
                <w:sz w:val="16"/>
              </w:rPr>
              <w:t>Restrained. No office-building stock footage, no transfer arrows.</w:t>
            </w:r>
          </w:p>
        </w:tc>
        <w:tc>
          <w:tcPr>
            <w:tcW w:type="dxa" w:w="1325"/>
          </w:tcPr>
          <w:p>
            <w:pPr>
              <w:spacing w:after="40" w:line="252" w:lineRule="auto"/>
            </w:pPr>
            <w:r/>
            <w:r>
              <w:rPr>
                <w:sz w:val="16"/>
              </w:rPr>
              <w:t>The reframe comes from her own reading of internal mobility.</w:t>
            </w:r>
          </w:p>
        </w:tc>
        <w:tc>
          <w:tcPr>
            <w:tcW w:type="dxa" w:w="1397"/>
          </w:tcPr>
          <w:p>
            <w:pPr>
              <w:spacing w:after="40" w:line="252" w:lineRule="auto"/>
            </w:pPr>
            <w:r/>
            <w:r>
              <w:rPr>
                <w:sz w:val="16"/>
              </w:rPr>
              <w:t>The viewer sees what the video will actually test.</w:t>
            </w:r>
          </w:p>
        </w:tc>
      </w:tr>
      <w:tr>
        <w:tc>
          <w:tcPr>
            <w:tcW w:type="dxa" w:w="749"/>
          </w:tcPr>
          <w:p>
            <w:pPr>
              <w:spacing w:after="40" w:line="252" w:lineRule="auto"/>
            </w:pPr>
            <w:r/>
            <w:r>
              <w:rPr>
                <w:sz w:val="16"/>
              </w:rPr>
              <w:t>0:10–0:21</w:t>
            </w:r>
          </w:p>
        </w:tc>
        <w:tc>
          <w:tcPr>
            <w:tcW w:type="dxa" w:w="2333"/>
          </w:tcPr>
          <w:p>
            <w:pPr>
              <w:spacing w:after="40" w:line="252" w:lineRule="auto"/>
            </w:pPr>
            <w:r/>
            <w:r>
              <w:rPr>
                <w:sz w:val="16"/>
              </w:rPr>
              <w:t>“Let me show you what this looked like for me. About six months after I returned from maternity leave in one chapter of my career, my scope expanded beyond the original box of the role.”</w:t>
            </w:r>
          </w:p>
        </w:tc>
        <w:tc>
          <w:tcPr>
            <w:tcW w:type="dxa" w:w="1325"/>
          </w:tcPr>
          <w:p>
            <w:pPr>
              <w:spacing w:after="40" w:line="252" w:lineRule="auto"/>
            </w:pPr>
            <w:r/>
            <w:r>
              <w:rPr>
                <w:sz w:val="16"/>
              </w:rPr>
              <w:t>Personal-story proof, offered rather than announced.</w:t>
            </w:r>
          </w:p>
        </w:tc>
        <w:tc>
          <w:tcPr>
            <w:tcW w:type="dxa" w:w="1512"/>
          </w:tcPr>
          <w:p>
            <w:pPr>
              <w:spacing w:after="40" w:line="252" w:lineRule="auto"/>
            </w:pPr>
            <w:r/>
            <w:r>
              <w:rPr>
                <w:sz w:val="16"/>
              </w:rPr>
              <w:t>MORE WORK?  then  DIFFERENT WORK</w:t>
            </w:r>
          </w:p>
        </w:tc>
        <w:tc>
          <w:tcPr>
            <w:tcW w:type="dxa" w:w="1584"/>
          </w:tcPr>
          <w:p>
            <w:pPr>
              <w:spacing w:after="40" w:line="252" w:lineRule="auto"/>
            </w:pPr>
            <w:r/>
            <w:r>
              <w:rPr>
                <w:sz w:val="16"/>
              </w:rPr>
              <w:t>Stay on Temidayo. No family or maternity stock imagery, no dramatization.</w:t>
            </w:r>
          </w:p>
        </w:tc>
        <w:tc>
          <w:tcPr>
            <w:tcW w:type="dxa" w:w="1325"/>
          </w:tcPr>
          <w:p>
            <w:pPr>
              <w:spacing w:after="40" w:line="252" w:lineRule="auto"/>
            </w:pPr>
            <w:r/>
            <w:r>
              <w:rPr>
                <w:sz w:val="16"/>
              </w:rPr>
              <w:t>Her own lived scope expansion, bounded: no employer, assignment, metric or result.</w:t>
            </w:r>
          </w:p>
        </w:tc>
        <w:tc>
          <w:tcPr>
            <w:tcW w:type="dxa" w:w="1397"/>
          </w:tcPr>
          <w:p>
            <w:pPr>
              <w:spacing w:after="40" w:line="252" w:lineRule="auto"/>
            </w:pPr>
            <w:r/>
            <w:r>
              <w:rPr>
                <w:sz w:val="16"/>
              </w:rPr>
              <w:t>The viewer sees the distinction that the whole video rests on.</w:t>
            </w:r>
          </w:p>
        </w:tc>
      </w:tr>
      <w:tr>
        <w:tc>
          <w:tcPr>
            <w:tcW w:type="dxa" w:w="749"/>
          </w:tcPr>
          <w:p>
            <w:pPr>
              <w:spacing w:after="40" w:line="252" w:lineRule="auto"/>
            </w:pPr>
            <w:r/>
            <w:r>
              <w:rPr>
                <w:sz w:val="16"/>
              </w:rPr>
              <w:t>0:21–0:30</w:t>
            </w:r>
          </w:p>
        </w:tc>
        <w:tc>
          <w:tcPr>
            <w:tcW w:type="dxa" w:w="2333"/>
          </w:tcPr>
          <w:p>
            <w:pPr>
              <w:spacing w:after="40" w:line="252" w:lineRule="auto"/>
            </w:pPr>
            <w:r/>
            <w:r>
              <w:rPr>
                <w:sz w:val="16"/>
              </w:rPr>
              <w:t>“That changed how I think about internal moves, and I want to help you test yours the same way.”</w:t>
            </w:r>
          </w:p>
        </w:tc>
        <w:tc>
          <w:tcPr>
            <w:tcW w:type="dxa" w:w="1325"/>
          </w:tcPr>
          <w:p>
            <w:pPr>
              <w:spacing w:after="40" w:line="252" w:lineRule="auto"/>
            </w:pPr>
            <w:r/>
            <w:r>
              <w:rPr>
                <w:sz w:val="16"/>
              </w:rPr>
              <w:t>Direct offer: her lesson becomes the viewer's test.</w:t>
            </w:r>
          </w:p>
        </w:tc>
        <w:tc>
          <w:tcPr>
            <w:tcW w:type="dxa" w:w="1512"/>
          </w:tcPr>
          <w:p>
            <w:pPr>
              <w:spacing w:after="40" w:line="252" w:lineRule="auto"/>
            </w:pPr>
            <w:r/>
            <w:r>
              <w:rPr>
                <w:sz w:val="16"/>
              </w:rPr>
              <w:t>WILL THE WORK CHANGE? / WILL YOUR JUDGMENT EXPAND? / WILL THE EVIDENCE TRAVEL?</w:t>
            </w:r>
          </w:p>
        </w:tc>
        <w:tc>
          <w:tcPr>
            <w:tcW w:type="dxa" w:w="1584"/>
          </w:tcPr>
          <w:p>
            <w:pPr>
              <w:spacing w:after="40" w:line="252" w:lineRule="auto"/>
            </w:pPr>
            <w:r/>
            <w:r>
              <w:rPr>
                <w:sz w:val="16"/>
              </w:rPr>
              <w:t>Progressive reveal of the three questions, then into the deck.</w:t>
            </w:r>
          </w:p>
        </w:tc>
        <w:tc>
          <w:tcPr>
            <w:tcW w:type="dxa" w:w="1325"/>
          </w:tcPr>
          <w:p>
            <w:pPr>
              <w:spacing w:after="40" w:line="252" w:lineRule="auto"/>
            </w:pPr>
            <w:r/>
            <w:r>
              <w:rPr>
                <w:sz w:val="16"/>
              </w:rPr>
              <w:t>The three questions are derived from her own case.</w:t>
            </w:r>
          </w:p>
        </w:tc>
        <w:tc>
          <w:tcPr>
            <w:tcW w:type="dxa" w:w="1397"/>
          </w:tcPr>
          <w:p>
            <w:pPr>
              <w:spacing w:after="40" w:line="252" w:lineRule="auto"/>
            </w:pPr>
            <w:r/>
            <w:r>
              <w:rPr>
                <w:sz w:val="16"/>
              </w:rPr>
              <w:t>Payoff is explicit by 30 seconds.</w:t>
            </w:r>
          </w:p>
        </w:tc>
      </w:tr>
    </w:tbl>
    <w:p>
      <w:pPr>
        <w:spacing w:before="40" w:after="20" w:line="240" w:lineRule="auto"/>
        <w:keepLines w:val="1"/>
      </w:pPr>
      <w:r>
        <w:rPr>
          <w:b/>
          <w:i w:val="0"/>
          <w:color w:val="0F2346"/>
          <w:sz w:val="21"/>
        </w:rPr>
        <w:t>Hook layers for the long-form:</w:t>
      </w:r>
    </w:p>
    <w:p>
      <w:pPr>
        <w:spacing w:before="0" w:after="16" w:line="240" w:lineRule="auto"/>
        <w:keepLines w:val="1"/>
      </w:pPr>
      <w:r>
        <w:rPr>
          <w:b w:val="0"/>
          <w:i w:val="0"/>
          <w:sz w:val="21"/>
        </w:rPr>
        <w:t>Verbal hook:       You may not need to leave your company.</w:t>
      </w:r>
    </w:p>
    <w:p>
      <w:pPr>
        <w:spacing w:before="0" w:after="16" w:line="240" w:lineRule="auto"/>
        <w:keepLines w:val="1"/>
      </w:pPr>
      <w:r>
        <w:rPr>
          <w:b w:val="0"/>
          <w:i w:val="0"/>
          <w:sz w:val="21"/>
        </w:rPr>
        <w:t>On-screen hook:    YOU MAY NOT NEED TO LEAVE</w:t>
      </w:r>
    </w:p>
    <w:p>
      <w:pPr>
        <w:spacing w:before="0" w:after="16" w:line="240" w:lineRule="auto"/>
        <w:keepLines w:val="1"/>
      </w:pPr>
      <w:r>
        <w:rPr>
          <w:b w:val="0"/>
          <w:i w:val="0"/>
          <w:sz w:val="21"/>
        </w:rPr>
        <w:t>Visual / editor:   Direct to camera, then SAME COMPANY / DIFFERENT WORK, then MORE WORK? / DIFFERENT WORK.</w:t>
      </w:r>
    </w:p>
    <w:p>
      <w:pPr>
        <w:spacing w:before="0" w:after="16" w:line="240" w:lineRule="auto"/>
        <w:keepLines w:val="1"/>
      </w:pPr>
      <w:r>
        <w:rPr>
          <w:b w:val="0"/>
          <w:i w:val="0"/>
          <w:sz w:val="21"/>
        </w:rPr>
        <w:t>Trust beat:        Her maternity-return scope expansion, bounded and spoken.</w:t>
      </w:r>
    </w:p>
    <w:p>
      <w:pPr>
        <w:spacing w:before="0" w:after="16" w:line="240" w:lineRule="auto"/>
        <w:keepLines w:val="1"/>
      </w:pPr>
      <w:r>
        <w:rPr>
          <w:b w:val="0"/>
          <w:i w:val="0"/>
          <w:sz w:val="21"/>
        </w:rPr>
        <w:t>Viewer payoff:     Three questions to test an internal move, promised by 0:30.</w:t>
      </w:r>
    </w:p>
    <w:p>
      <w:pPr>
        <w:spacing w:before="56" w:after="32" w:line="240" w:lineRule="auto"/>
        <w:keepLines w:val="1"/>
        <w:keepNext w:val="1"/>
      </w:pPr>
      <w:r>
        <w:rPr>
          <w:b/>
          <w:i w:val="0"/>
          <w:color w:val="0F2346"/>
          <w:sz w:val="28"/>
        </w:rPr>
        <w:t>5.  Slide marker → actual slide number</w:t>
      </w:r>
    </w:p>
    <w:p>
      <w:pPr>
        <w:spacing w:before="0" w:after="32" w:line="240" w:lineRule="auto"/>
      </w:pPr>
      <w:r>
        <w:rPr>
          <w:b w:val="0"/>
          <w:i w:val="0"/>
          <w:sz w:val="22"/>
        </w:rPr>
        <w:t>The teleprompter carries twelve slide markers. They map to the existing twelve-slide deck in order, marker 1 to slide 1 through marker 12 to slide 12. Do not add, delete, redesign or reorder slides.</w:t>
      </w:r>
    </w:p>
    <w:p>
      <w:pPr>
        <w:spacing w:before="0" w:after="12" w:line="240" w:lineRule="auto"/>
        <w:keepLines w:val="1"/>
      </w:pPr>
      <w:r>
        <w:rPr>
          <w:b w:val="0"/>
          <w:i w:val="0"/>
          <w:sz w:val="21"/>
        </w:rPr>
        <w:t>Marker 1   →  Slide 1   Core Distinction</w:t>
      </w:r>
    </w:p>
    <w:p>
      <w:pPr>
        <w:spacing w:before="0" w:after="12" w:line="240" w:lineRule="auto"/>
        <w:keepLines w:val="1"/>
      </w:pPr>
      <w:r>
        <w:rPr>
          <w:b w:val="0"/>
          <w:i w:val="0"/>
          <w:sz w:val="21"/>
        </w:rPr>
        <w:t>Marker 2   →  Slide 2   The Three Questions</w:t>
      </w:r>
    </w:p>
    <w:p>
      <w:pPr>
        <w:spacing w:before="0" w:after="12" w:line="240" w:lineRule="auto"/>
        <w:keepLines w:val="1"/>
      </w:pPr>
      <w:r>
        <w:rPr>
          <w:b w:val="0"/>
          <w:i w:val="0"/>
          <w:sz w:val="21"/>
        </w:rPr>
        <w:t>Marker 3   →  Slide 3   1 — Will the Work Change?</w:t>
      </w:r>
    </w:p>
    <w:p>
      <w:pPr>
        <w:spacing w:before="0" w:after="12" w:line="240" w:lineRule="auto"/>
        <w:keepLines w:val="1"/>
      </w:pPr>
      <w:r>
        <w:rPr>
          <w:b w:val="0"/>
          <w:i w:val="0"/>
          <w:sz w:val="21"/>
        </w:rPr>
        <w:t>Marker 4   →  Slide 4   Access Test</w:t>
      </w:r>
    </w:p>
    <w:p>
      <w:pPr>
        <w:spacing w:before="0" w:after="12" w:line="240" w:lineRule="auto"/>
        <w:keepLines w:val="1"/>
      </w:pPr>
      <w:r>
        <w:rPr>
          <w:b w:val="0"/>
          <w:i w:val="0"/>
          <w:sz w:val="21"/>
        </w:rPr>
        <w:t>Marker 5   →  Slide 5   2 — Will Your Judgment Expand?</w:t>
      </w:r>
    </w:p>
    <w:p>
      <w:pPr>
        <w:spacing w:before="0" w:after="12" w:line="240" w:lineRule="auto"/>
        <w:keepLines w:val="1"/>
      </w:pPr>
      <w:r>
        <w:rPr>
          <w:b w:val="0"/>
          <w:i w:val="0"/>
          <w:sz w:val="21"/>
        </w:rPr>
        <w:t>Marker 6   →  Slide 6   More Tasks / More Judgment</w:t>
      </w:r>
    </w:p>
    <w:p>
      <w:pPr>
        <w:spacing w:before="0" w:after="12" w:line="240" w:lineRule="auto"/>
        <w:keepLines w:val="1"/>
      </w:pPr>
      <w:r>
        <w:rPr>
          <w:b w:val="0"/>
          <w:i w:val="0"/>
          <w:sz w:val="21"/>
        </w:rPr>
        <w:t>Marker 7   →  Slide 7   3 — Will the Evidence Travel?</w:t>
      </w:r>
    </w:p>
    <w:p>
      <w:pPr>
        <w:spacing w:before="0" w:after="12" w:line="240" w:lineRule="auto"/>
        <w:keepLines w:val="1"/>
      </w:pPr>
      <w:r>
        <w:rPr>
          <w:b w:val="0"/>
          <w:i w:val="0"/>
          <w:sz w:val="21"/>
        </w:rPr>
        <w:t>Marker 8   →  Slide 8   Result / Judgment / Range</w:t>
      </w:r>
    </w:p>
    <w:p>
      <w:pPr>
        <w:spacing w:before="0" w:after="12" w:line="240" w:lineRule="auto"/>
        <w:keepLines w:val="1"/>
      </w:pPr>
      <w:r>
        <w:rPr>
          <w:b w:val="0"/>
          <w:i w:val="0"/>
          <w:sz w:val="21"/>
        </w:rPr>
        <w:t>Marker 9   →  Slide 9   Decision Read</w:t>
      </w:r>
    </w:p>
    <w:p>
      <w:pPr>
        <w:spacing w:before="0" w:after="12" w:line="240" w:lineRule="auto"/>
        <w:keepLines w:val="1"/>
      </w:pPr>
      <w:r>
        <w:rPr>
          <w:b w:val="0"/>
          <w:i w:val="0"/>
          <w:sz w:val="21"/>
        </w:rPr>
        <w:t>Marker 10  →  Slide 10  Conversation Prompts</w:t>
      </w:r>
    </w:p>
    <w:p>
      <w:pPr>
        <w:spacing w:before="0" w:after="12" w:line="240" w:lineRule="auto"/>
        <w:keepLines w:val="1"/>
      </w:pPr>
      <w:r>
        <w:rPr>
          <w:b w:val="0"/>
          <w:i w:val="0"/>
          <w:sz w:val="21"/>
        </w:rPr>
        <w:t>Marker 11  →  Slide 11  Career Decision Evidence Check</w:t>
      </w:r>
    </w:p>
    <w:p>
      <w:pPr>
        <w:spacing w:before="0" w:after="12" w:line="240" w:lineRule="auto"/>
        <w:keepLines w:val="1"/>
      </w:pPr>
      <w:r>
        <w:rPr>
          <w:b w:val="0"/>
          <w:i w:val="0"/>
          <w:sz w:val="21"/>
        </w:rPr>
        <w:t>Marker 12  →  Slide 12  Watch Next</w:t>
      </w:r>
    </w:p>
    <w:p>
      <w:pPr>
        <w:spacing w:before="56" w:after="32" w:line="240" w:lineRule="auto"/>
        <w:keepLines w:val="1"/>
        <w:keepNext w:val="1"/>
      </w:pPr>
      <w:r>
        <w:rPr>
          <w:b/>
          <w:i w:val="0"/>
          <w:color w:val="0F2346"/>
          <w:sz w:val="28"/>
        </w:rPr>
        <w:t>6.  Existing reveal-frame map</w:t>
      </w:r>
    </w:p>
    <w:p>
      <w:pPr>
        <w:spacing w:before="0" w:after="32" w:line="240" w:lineRule="auto"/>
      </w:pPr>
      <w:r>
        <w:rPr>
          <w:b w:val="0"/>
          <w:i w:val="0"/>
          <w:sz w:val="22"/>
        </w:rPr>
        <w:t>The reveal-build deck contains 25 frames. This is the inspected count from the actual file, not an assumption. Reveal visuals are unchanged.</w:t>
      </w:r>
    </w:p>
    <w:p>
      <w:pPr>
        <w:spacing w:before="0" w:after="12" w:line="240" w:lineRule="auto"/>
        <w:keepLines w:val="1"/>
      </w:pPr>
      <w:r>
        <w:rPr>
          <w:b w:val="0"/>
          <w:i w:val="0"/>
          <w:sz w:val="21"/>
        </w:rPr>
        <w:t>Slide 1   →  reveal frames 1–2      (2)</w:t>
      </w:r>
    </w:p>
    <w:p>
      <w:pPr>
        <w:spacing w:before="0" w:after="12" w:line="240" w:lineRule="auto"/>
        <w:keepLines w:val="1"/>
      </w:pPr>
      <w:r>
        <w:rPr>
          <w:b w:val="0"/>
          <w:i w:val="0"/>
          <w:sz w:val="21"/>
        </w:rPr>
        <w:t>Slide 2   →  reveal frames 3–5      (3)</w:t>
      </w:r>
    </w:p>
    <w:p>
      <w:pPr>
        <w:spacing w:before="0" w:after="12" w:line="240" w:lineRule="auto"/>
        <w:keepLines w:val="1"/>
      </w:pPr>
      <w:r>
        <w:rPr>
          <w:b w:val="0"/>
          <w:i w:val="0"/>
          <w:sz w:val="21"/>
        </w:rPr>
        <w:t>Slide 3   →  reveal frames 6        (1)</w:t>
      </w:r>
    </w:p>
    <w:p>
      <w:pPr>
        <w:spacing w:before="0" w:after="12" w:line="240" w:lineRule="auto"/>
        <w:keepLines w:val="1"/>
      </w:pPr>
      <w:r>
        <w:rPr>
          <w:b w:val="0"/>
          <w:i w:val="0"/>
          <w:sz w:val="21"/>
        </w:rPr>
        <w:t>Slide 4   →  reveal frames 7–10     (4)</w:t>
      </w:r>
    </w:p>
    <w:p>
      <w:pPr>
        <w:spacing w:before="0" w:after="12" w:line="240" w:lineRule="auto"/>
        <w:keepLines w:val="1"/>
      </w:pPr>
      <w:r>
        <w:rPr>
          <w:b w:val="0"/>
          <w:i w:val="0"/>
          <w:sz w:val="21"/>
        </w:rPr>
        <w:t>Slide 5   →  reveal frames 11       (1)</w:t>
      </w:r>
    </w:p>
    <w:p>
      <w:pPr>
        <w:spacing w:before="0" w:after="12" w:line="240" w:lineRule="auto"/>
        <w:keepLines w:val="1"/>
      </w:pPr>
      <w:r>
        <w:rPr>
          <w:b w:val="0"/>
          <w:i w:val="0"/>
          <w:sz w:val="21"/>
        </w:rPr>
        <w:t>Slide 6   →  reveal frames 12–13    (2)</w:t>
      </w:r>
    </w:p>
    <w:p>
      <w:pPr>
        <w:spacing w:before="0" w:after="12" w:line="240" w:lineRule="auto"/>
        <w:keepLines w:val="1"/>
      </w:pPr>
      <w:r>
        <w:rPr>
          <w:b w:val="0"/>
          <w:i w:val="0"/>
          <w:sz w:val="21"/>
        </w:rPr>
        <w:t>Slide 7   →  reveal frames 14       (1)</w:t>
      </w:r>
    </w:p>
    <w:p>
      <w:pPr>
        <w:spacing w:before="0" w:after="12" w:line="240" w:lineRule="auto"/>
        <w:keepLines w:val="1"/>
      </w:pPr>
      <w:r>
        <w:rPr>
          <w:b w:val="0"/>
          <w:i w:val="0"/>
          <w:sz w:val="21"/>
        </w:rPr>
        <w:t>Slide 8   →  reveal frames 15–17    (3)</w:t>
      </w:r>
    </w:p>
    <w:p>
      <w:pPr>
        <w:spacing w:before="0" w:after="12" w:line="240" w:lineRule="auto"/>
        <w:keepLines w:val="1"/>
      </w:pPr>
      <w:r>
        <w:rPr>
          <w:b w:val="0"/>
          <w:i w:val="0"/>
          <w:sz w:val="21"/>
        </w:rPr>
        <w:t>Slide 9   →  reveal frames 18–20    (3)</w:t>
      </w:r>
    </w:p>
    <w:p>
      <w:pPr>
        <w:spacing w:before="0" w:after="12" w:line="240" w:lineRule="auto"/>
        <w:keepLines w:val="1"/>
      </w:pPr>
      <w:r>
        <w:rPr>
          <w:b w:val="0"/>
          <w:i w:val="0"/>
          <w:sz w:val="21"/>
        </w:rPr>
        <w:t>Slide 10  →  reveal frames 21–23    (3)</w:t>
      </w:r>
    </w:p>
    <w:p>
      <w:pPr>
        <w:spacing w:before="0" w:after="12" w:line="240" w:lineRule="auto"/>
        <w:keepLines w:val="1"/>
      </w:pPr>
      <w:r>
        <w:rPr>
          <w:b w:val="0"/>
          <w:i w:val="0"/>
          <w:sz w:val="21"/>
        </w:rPr>
        <w:t>Slide 11  →  reveal frames 24       (1)</w:t>
      </w:r>
    </w:p>
    <w:p>
      <w:pPr>
        <w:spacing w:before="0" w:after="12" w:line="240" w:lineRule="auto"/>
        <w:keepLines w:val="1"/>
      </w:pPr>
      <w:r>
        <w:rPr>
          <w:b w:val="0"/>
          <w:i w:val="0"/>
          <w:sz w:val="21"/>
        </w:rPr>
        <w:t>Slide 12  →  reveal frames 25       (1)</w:t>
      </w:r>
    </w:p>
    <w:p>
      <w:pPr>
        <w:spacing w:before="16" w:after="32" w:line="240" w:lineRule="auto"/>
        <w:keepLines w:val="1"/>
      </w:pPr>
      <w:r>
        <w:rPr>
          <w:b w:val="0"/>
          <w:i/>
          <w:color w:val="5A6B82"/>
          <w:sz w:val="21"/>
        </w:rPr>
        <w:t>Slides 3, 5, 7, 11 and 12 are single-state frames; the rest build.</w:t>
      </w:r>
    </w:p>
    <w:p>
      <w:pPr>
        <w:spacing w:before="40" w:after="20" w:line="240" w:lineRule="auto"/>
        <w:keepLines w:val="1"/>
        <w:keepNext w:val="1"/>
      </w:pPr>
      <w:r>
        <w:rPr>
          <w:b/>
          <w:i w:val="0"/>
          <w:color w:val="0F2346"/>
          <w:sz w:val="23"/>
        </w:rPr>
        <w:t>Let the visual carry the information</w:t>
      </w:r>
    </w:p>
    <w:p>
      <w:pPr>
        <w:spacing w:before="0" w:after="24" w:line="240" w:lineRule="auto"/>
      </w:pPr>
      <w:r>
        <w:rPr>
          <w:b w:val="0"/>
          <w:i w:val="0"/>
          <w:sz w:val="22"/>
        </w:rPr>
        <w:t>Do not add spoken wording to compensate for slide copy.</w:t>
      </w:r>
    </w:p>
    <w:p>
      <w:pPr>
        <w:spacing w:before="0" w:after="20" w:line="240" w:lineRule="auto"/>
        <w:keepLines w:val="1"/>
      </w:pPr>
      <w:r>
        <w:rPr>
          <w:b w:val="0"/>
          <w:i w:val="0"/>
          <w:sz w:val="22"/>
        </w:rPr>
        <w:t>Slide 2 carries the three-question preview.</w:t>
      </w:r>
    </w:p>
    <w:p>
      <w:pPr>
        <w:spacing w:before="0" w:after="20" w:line="240" w:lineRule="auto"/>
        <w:keepLines w:val="1"/>
      </w:pPr>
      <w:r>
        <w:rPr>
          <w:b w:val="0"/>
          <w:i w:val="0"/>
          <w:sz w:val="22"/>
        </w:rPr>
        <w:t>Slide 4 carries new problems / systems / stakeholders / context.</w:t>
      </w:r>
    </w:p>
    <w:p>
      <w:pPr>
        <w:spacing w:before="0" w:after="20" w:line="240" w:lineRule="auto"/>
        <w:keepLines w:val="1"/>
      </w:pPr>
      <w:r>
        <w:rPr>
          <w:b w:val="0"/>
          <w:i w:val="0"/>
          <w:sz w:val="22"/>
        </w:rPr>
        <w:t>Slide 6 carries MORE TASKS vs MORE JUDGMENT.</w:t>
      </w:r>
    </w:p>
    <w:p>
      <w:pPr>
        <w:spacing w:before="0" w:after="20" w:line="240" w:lineRule="auto"/>
        <w:keepLines w:val="1"/>
      </w:pPr>
      <w:r>
        <w:rPr>
          <w:b w:val="0"/>
          <w:i w:val="0"/>
          <w:sz w:val="22"/>
        </w:rPr>
        <w:t>Slide 8 carries RESULT / JUDGMENT / RANGE.</w:t>
      </w:r>
    </w:p>
    <w:p>
      <w:pPr>
        <w:spacing w:before="0" w:after="20" w:line="240" w:lineRule="auto"/>
        <w:keepLines w:val="1"/>
      </w:pPr>
      <w:r>
        <w:rPr>
          <w:b w:val="0"/>
          <w:i w:val="0"/>
          <w:sz w:val="22"/>
        </w:rPr>
        <w:t>Slide 9 carries the 3 / 2 / 0–1 decision read.</w:t>
      </w:r>
    </w:p>
    <w:p>
      <w:pPr>
        <w:spacing w:before="0" w:after="20" w:line="240" w:lineRule="auto"/>
        <w:keepLines w:val="1"/>
      </w:pPr>
      <w:r>
        <w:rPr>
          <w:b w:val="0"/>
          <w:i w:val="0"/>
          <w:sz w:val="22"/>
        </w:rPr>
        <w:t>Slide 10 carries the conversation prompts.</w:t>
      </w:r>
    </w:p>
    <w:p>
      <w:pPr>
        <w:spacing w:before="56" w:after="32" w:line="240" w:lineRule="auto"/>
        <w:keepLines w:val="1"/>
        <w:keepNext w:val="1"/>
      </w:pPr>
      <w:r>
        <w:rPr>
          <w:b/>
          <w:i w:val="0"/>
          <w:color w:val="0F2346"/>
          <w:sz w:val="28"/>
        </w:rPr>
        <w:t>7.  Factual boundaries</w:t>
      </w:r>
    </w:p>
    <w:p>
      <w:pPr>
        <w:spacing w:before="0" w:after="32" w:line="240" w:lineRule="auto"/>
        <w:shd w:val="clear" w:fill="F3F0E8"/>
        <w:keepLines w:val="1"/>
      </w:pPr>
      <w:r>
        <w:rPr>
          <w:b/>
          <w:i w:val="0"/>
          <w:color w:val="9B2C10"/>
          <w:sz w:val="22"/>
        </w:rPr>
        <w:t>FACTUAL BOUNDARY. The confirmed evidence is only this: about six months after Temidayo returned from maternity leave in one career chapter, her scope expanded beyond the original box of the role, and the meaningful part was being trusted with different work.</w:t>
      </w:r>
    </w:p>
    <w:p>
      <w:pPr>
        <w:spacing w:before="0" w:after="20" w:line="240" w:lineRule="auto"/>
      </w:pPr>
      <w:r>
        <w:rPr>
          <w:b w:val="0"/>
          <w:i w:val="0"/>
          <w:sz w:val="22"/>
        </w:rPr>
        <w:t>Do not add:</w:t>
      </w:r>
    </w:p>
    <w:p>
      <w:pPr>
        <w:spacing w:before="0" w:after="12" w:line="240" w:lineRule="auto"/>
        <w:keepLines w:val="1"/>
      </w:pPr>
      <w:r>
        <w:rPr>
          <w:b w:val="0"/>
          <w:i w:val="0"/>
          <w:sz w:val="22"/>
        </w:rPr>
        <w:t>—  an employer name;        —  an exact title;        —  an exact assignment;</w:t>
      </w:r>
    </w:p>
    <w:p>
      <w:pPr>
        <w:spacing w:before="0" w:after="12" w:line="240" w:lineRule="auto"/>
        <w:keepLines w:val="1"/>
      </w:pPr>
      <w:r>
        <w:rPr>
          <w:b w:val="0"/>
          <w:i w:val="0"/>
          <w:sz w:val="22"/>
        </w:rPr>
        <w:t>—  an executive conversation;        —  a quote;        —  a metric;</w:t>
      </w:r>
    </w:p>
    <w:p>
      <w:pPr>
        <w:spacing w:before="0" w:after="12" w:line="240" w:lineRule="auto"/>
        <w:keepLines w:val="1"/>
      </w:pPr>
      <w:r>
        <w:rPr>
          <w:b w:val="0"/>
          <w:i w:val="0"/>
          <w:sz w:val="22"/>
        </w:rPr>
        <w:t>—  a promotion;        —  a causal claim;        —  a conflict;</w:t>
      </w:r>
    </w:p>
    <w:p>
      <w:pPr>
        <w:spacing w:before="0" w:after="12" w:line="240" w:lineRule="auto"/>
        <w:keepLines w:val="1"/>
      </w:pPr>
      <w:r>
        <w:rPr>
          <w:b w:val="0"/>
          <w:i w:val="0"/>
          <w:sz w:val="22"/>
        </w:rPr>
        <w:t>—  a resistance story;        —  an unestablished result.</w:t>
      </w:r>
    </w:p>
    <w:p>
      <w:pPr>
        <w:spacing w:before="16" w:after="24" w:line="240" w:lineRule="auto"/>
        <w:keepLines w:val="1"/>
      </w:pPr>
      <w:r>
        <w:rPr>
          <w:b/>
          <w:i w:val="0"/>
          <w:color w:val="9B2C10"/>
          <w:sz w:val="22"/>
        </w:rPr>
        <w:t>Do not name the employer publicly in this video.</w:t>
      </w:r>
    </w:p>
    <w:p>
      <w:pPr>
        <w:spacing w:before="0" w:after="32" w:line="240" w:lineRule="auto"/>
        <w:keepLines w:val="1"/>
      </w:pPr>
      <w:r>
        <w:rPr>
          <w:b w:val="0"/>
          <w:i w:val="0"/>
          <w:sz w:val="22"/>
        </w:rPr>
        <w:t>The accurate learning is NOT “my scope got bigger, therefore I grew.” It is that being trusted with different work was the meaningful part.</w:t>
      </w:r>
    </w:p>
    <w:p>
      <w:pPr>
        <w:spacing w:before="56" w:after="32" w:line="240" w:lineRule="auto"/>
        <w:keepLines w:val="1"/>
        <w:keepNext w:val="1"/>
      </w:pPr>
      <w:r>
        <w:rPr>
          <w:b/>
          <w:i w:val="0"/>
          <w:color w:val="0F2346"/>
          <w:sz w:val="28"/>
        </w:rPr>
        <w:t>8.  Safety and decision boundaries</w:t>
      </w:r>
    </w:p>
    <w:p>
      <w:pPr>
        <w:spacing w:before="0" w:after="24" w:line="240" w:lineRule="auto"/>
      </w:pPr>
      <w:r>
        <w:rPr>
          <w:b w:val="0"/>
          <w:i w:val="0"/>
          <w:sz w:val="22"/>
        </w:rPr>
        <w:t>Preserve the script's explicit acknowledgment that:</w:t>
      </w:r>
    </w:p>
    <w:p>
      <w:pPr>
        <w:spacing w:before="0" w:after="12" w:line="240" w:lineRule="auto"/>
        <w:keepLines w:val="1"/>
      </w:pPr>
      <w:r>
        <w:rPr>
          <w:b w:val="0"/>
          <w:i w:val="0"/>
          <w:sz w:val="22"/>
        </w:rPr>
        <w:t>—  a lower-formation move may still be right for pay, flexibility, benefits, stability or manager fit;</w:t>
      </w:r>
    </w:p>
    <w:p>
      <w:pPr>
        <w:spacing w:before="0" w:after="12" w:line="240" w:lineRule="auto"/>
        <w:keepLines w:val="1"/>
      </w:pPr>
      <w:r>
        <w:rPr>
          <w:b w:val="0"/>
          <w:i w:val="0"/>
          <w:sz w:val="22"/>
        </w:rPr>
        <w:t>—  health and safety take priority;</w:t>
      </w:r>
    </w:p>
    <w:p>
      <w:pPr>
        <w:spacing w:before="0" w:after="12" w:line="240" w:lineRule="auto"/>
        <w:keepLines w:val="1"/>
      </w:pPr>
      <w:r>
        <w:rPr>
          <w:b w:val="0"/>
          <w:i w:val="0"/>
          <w:sz w:val="22"/>
        </w:rPr>
        <w:t>—  harassment or discrimination is not a situation to optimise around before seeking appropriate support;</w:t>
      </w:r>
    </w:p>
    <w:p>
      <w:pPr>
        <w:spacing w:before="0" w:after="12" w:line="240" w:lineRule="auto"/>
        <w:keepLines w:val="1"/>
      </w:pPr>
      <w:r>
        <w:rPr>
          <w:b w:val="0"/>
          <w:i w:val="0"/>
          <w:sz w:val="22"/>
        </w:rPr>
        <w:t>—  caregiving, immigration status, location, energy and timing may change the decision;</w:t>
      </w:r>
    </w:p>
    <w:p>
      <w:pPr>
        <w:spacing w:before="0" w:after="12" w:line="240" w:lineRule="auto"/>
        <w:keepLines w:val="1"/>
      </w:pPr>
      <w:r>
        <w:rPr>
          <w:b w:val="0"/>
          <w:i w:val="0"/>
          <w:sz w:val="22"/>
        </w:rPr>
        <w:t>—  an internal move will not solve every problem, and a capable person can still be overlooked.</w:t>
      </w:r>
    </w:p>
    <w:p>
      <w:pPr>
        <w:spacing w:before="16" w:after="32" w:line="240" w:lineRule="auto"/>
        <w:keepLines w:val="1"/>
      </w:pPr>
      <w:r>
        <w:rPr>
          <w:b/>
          <w:i w:val="0"/>
          <w:color w:val="9B2C10"/>
          <w:sz w:val="22"/>
        </w:rPr>
        <w:t>Never claim that every internal move is growth, and never claim an external move is automatically better.</w:t>
      </w:r>
    </w:p>
    <w:p>
      <w:pPr>
        <w:spacing w:before="56" w:after="32" w:line="240" w:lineRule="auto"/>
        <w:keepLines w:val="1"/>
        <w:keepNext w:val="1"/>
      </w:pPr>
      <w:r>
        <w:rPr>
          <w:b/>
          <w:i w:val="0"/>
          <w:color w:val="0F2346"/>
          <w:sz w:val="28"/>
        </w:rPr>
        <w:t>9.  CTA and watch next</w:t>
      </w:r>
    </w:p>
    <w:p>
      <w:pPr>
        <w:spacing w:before="0" w:after="20" w:line="240" w:lineRule="auto"/>
        <w:keepLines w:val="1"/>
      </w:pPr>
      <w:r>
        <w:rPr>
          <w:b w:val="0"/>
          <w:i w:val="0"/>
          <w:sz w:val="22"/>
        </w:rPr>
        <w:t>One resource CTA only: Career Decision Evidence Check — https://temidayoafonja.com/career-decisions</w:t>
      </w:r>
    </w:p>
    <w:p>
      <w:pPr>
        <w:spacing w:before="0" w:after="24" w:line="240" w:lineRule="auto"/>
        <w:keepLines w:val="1"/>
      </w:pPr>
      <w:r>
        <w:rPr>
          <w:b/>
          <w:i w:val="0"/>
          <w:sz w:val="22"/>
        </w:rPr>
        <w:t>Do not add the Capability Formation Field Kit, the Career Evidence Starter or Keep the Proof to this video.</w:t>
      </w:r>
    </w:p>
    <w:p>
      <w:pPr>
        <w:spacing w:before="0" w:after="32" w:line="240" w:lineRule="auto"/>
        <w:keepLines w:val="1"/>
      </w:pPr>
      <w:r>
        <w:rPr>
          <w:b/>
          <w:i w:val="0"/>
          <w:color w:val="0F2346"/>
          <w:sz w:val="22"/>
        </w:rPr>
        <w:t>The production gate is satisfied.</w:t>
      </w:r>
    </w:p>
    <w:p>
      <w:pPr>
        <w:spacing w:before="0" w:after="20" w:line="240" w:lineRule="auto"/>
        <w:keepLines w:val="1"/>
      </w:pPr>
      <w:r>
        <w:rPr>
          <w:b/>
          <w:i w:val="0"/>
          <w:sz w:val="22"/>
        </w:rPr>
        <w:t>Watch next: Video 6 — Are You Growing—or Just Being Given More Work?</w:t>
      </w:r>
    </w:p>
    <w:p>
      <w:pPr>
        <w:spacing w:before="0" w:after="16" w:line="240" w:lineRule="auto"/>
        <w:keepLines w:val="1"/>
      </w:pPr>
      <w:r>
        <w:rPr>
          <w:b w:val="0"/>
          <w:i w:val="0"/>
          <w:sz w:val="22"/>
        </w:rPr>
        <w:t>—  use direct Video 6 end-screen routing once Video 6 is public;</w:t>
      </w:r>
    </w:p>
    <w:p>
      <w:pPr>
        <w:spacing w:before="0" w:after="16" w:line="240" w:lineRule="auto"/>
        <w:keepLines w:val="1"/>
      </w:pPr>
      <w:r>
        <w:rPr>
          <w:b w:val="0"/>
          <w:i w:val="0"/>
          <w:sz w:val="22"/>
        </w:rPr>
        <w:t>—  before Video 6 is public, use the Career Portability playlist if it is functioning;</w:t>
      </w:r>
    </w:p>
    <w:p>
      <w:pPr>
        <w:spacing w:before="0" w:after="16" w:line="240" w:lineRule="auto"/>
        <w:keepLines w:val="1"/>
      </w:pPr>
      <w:r>
        <w:rPr>
          <w:b w:val="0"/>
          <w:i w:val="0"/>
          <w:sz w:val="22"/>
        </w:rPr>
        <w:t>—  otherwise use an appropriate currently public video or YouTube's best-for-viewer option temporarily.</w:t>
      </w:r>
    </w:p>
    <w:p>
      <w:pPr>
        <w:spacing w:before="16" w:after="32" w:line="240" w:lineRule="auto"/>
        <w:keepLines w:val="1"/>
      </w:pPr>
      <w:r>
        <w:rPr>
          <w:b/>
          <w:i w:val="0"/>
          <w:color w:val="9B2C10"/>
          <w:sz w:val="22"/>
        </w:rPr>
        <w:t>Do not leave Subscribe as the only end-screen element.</w:t>
      </w:r>
    </w:p>
    <w:p>
      <w:pPr>
        <w:spacing w:before="56" w:after="32" w:line="240" w:lineRule="auto"/>
        <w:keepLines w:val="1"/>
        <w:keepNext w:val="1"/>
      </w:pPr>
      <w:r>
        <w:rPr>
          <w:b/>
          <w:i w:val="0"/>
          <w:color w:val="0F2346"/>
          <w:sz w:val="28"/>
        </w:rPr>
        <w:t>10.  Editing rhythm</w:t>
      </w:r>
    </w:p>
    <w:p>
      <w:pPr>
        <w:spacing w:before="0" w:after="32" w:line="240" w:lineRule="auto"/>
      </w:pPr>
      <w:r>
        <w:rPr>
          <w:b w:val="0"/>
          <w:i w:val="0"/>
          <w:sz w:val="22"/>
        </w:rPr>
        <w:t>After the first 30 seconds, let the deck carry the three questions, the access variables, the task-versus-judgment distinction, the evidence types, the decision read and the conversation prompts. Temidayo's voice carries interpretation, organizational mechanics, limits and real-life tradeoffs.</w:t>
      </w:r>
    </w:p>
    <w:p>
      <w:pPr>
        <w:spacing w:before="0" w:after="12" w:line="240" w:lineRule="auto"/>
        <w:keepLines w:val="1"/>
      </w:pPr>
      <w:r>
        <w:rPr>
          <w:b w:val="0"/>
          <w:i w:val="0"/>
          <w:sz w:val="22"/>
        </w:rPr>
        <w:t>—  preserve natural pacing;        —  avoid constant motion;</w:t>
      </w:r>
    </w:p>
    <w:p>
      <w:pPr>
        <w:spacing w:before="0" w:after="12" w:line="240" w:lineRule="auto"/>
        <w:keepLines w:val="1"/>
      </w:pPr>
      <w:r>
        <w:rPr>
          <w:b w:val="0"/>
          <w:i w:val="0"/>
          <w:sz w:val="22"/>
        </w:rPr>
        <w:t>—  avoid decorative B-roll;        —  avoid text duplication;</w:t>
      </w:r>
    </w:p>
    <w:p>
      <w:pPr>
        <w:spacing w:before="0" w:after="12" w:line="240" w:lineRule="auto"/>
        <w:keepLines w:val="1"/>
      </w:pPr>
      <w:r>
        <w:rPr>
          <w:b w:val="0"/>
          <w:i w:val="0"/>
          <w:sz w:val="22"/>
        </w:rPr>
        <w:t>—  avoid constant punch-ins;        —  allow reflective pauses.</w:t>
      </w:r>
    </w:p>
    <w:p>
      <w:pPr>
        <w:spacing w:before="56" w:after="32" w:line="240" w:lineRule="auto"/>
        <w:keepLines w:val="1"/>
        <w:keepNext w:val="1"/>
      </w:pPr>
      <w:r>
        <w:rPr>
          <w:b/>
          <w:i w:val="0"/>
          <w:color w:val="0F2346"/>
          <w:sz w:val="28"/>
        </w:rPr>
        <w:t>11.  Visual “do not use” list</w:t>
      </w:r>
    </w:p>
    <w:p>
      <w:pPr>
        <w:spacing w:before="0" w:after="12" w:line="240" w:lineRule="auto"/>
        <w:keepLines w:val="1"/>
      </w:pPr>
      <w:r>
        <w:rPr>
          <w:b w:val="0"/>
          <w:i w:val="0"/>
          <w:sz w:val="22"/>
        </w:rPr>
        <w:t>—  maternity imagery;        —  baby imagery;        —  stock office B-roll;</w:t>
      </w:r>
    </w:p>
    <w:p>
      <w:pPr>
        <w:spacing w:before="0" w:after="12" w:line="240" w:lineRule="auto"/>
        <w:keepLines w:val="1"/>
      </w:pPr>
      <w:r>
        <w:rPr>
          <w:b w:val="0"/>
          <w:i w:val="0"/>
          <w:sz w:val="22"/>
        </w:rPr>
        <w:t>—  transfer arrows;        —  doors;        —  ladders;</w:t>
      </w:r>
    </w:p>
    <w:p>
      <w:pPr>
        <w:spacing w:before="0" w:after="12" w:line="240" w:lineRule="auto"/>
        <w:keepLines w:val="1"/>
      </w:pPr>
      <w:r>
        <w:rPr>
          <w:b w:val="0"/>
          <w:i w:val="0"/>
          <w:sz w:val="22"/>
        </w:rPr>
        <w:t>—  job-change icons;        —  generic org charts;</w:t>
      </w:r>
    </w:p>
    <w:p>
      <w:pPr>
        <w:spacing w:before="0" w:after="12" w:line="240" w:lineRule="auto"/>
        <w:keepLines w:val="1"/>
      </w:pPr>
      <w:r>
        <w:rPr>
          <w:b w:val="0"/>
          <w:i w:val="0"/>
          <w:sz w:val="22"/>
        </w:rPr>
        <w:t>—  fake promotion graphics;        —  org-chart animation;</w:t>
      </w:r>
    </w:p>
    <w:p>
      <w:pPr>
        <w:spacing w:before="0" w:after="12" w:line="240" w:lineRule="auto"/>
        <w:keepLines w:val="1"/>
      </w:pPr>
      <w:r>
        <w:rPr>
          <w:b w:val="0"/>
          <w:i w:val="0"/>
          <w:sz w:val="22"/>
        </w:rPr>
        <w:t>—  employer logos;        —  résumé graphics;        —  constant zooms;</w:t>
      </w:r>
    </w:p>
    <w:p>
      <w:pPr>
        <w:spacing w:before="0" w:after="12" w:line="240" w:lineRule="auto"/>
        <w:keepLines w:val="1"/>
      </w:pPr>
      <w:r>
        <w:rPr>
          <w:b w:val="0"/>
          <w:i w:val="0"/>
          <w:sz w:val="22"/>
        </w:rPr>
        <w:t>—  red warning graphics;        —  fake shock expressions;</w:t>
      </w:r>
    </w:p>
    <w:p>
      <w:pPr>
        <w:spacing w:before="0" w:after="12" w:line="240" w:lineRule="auto"/>
        <w:keepLines w:val="1"/>
      </w:pPr>
      <w:r>
        <w:rPr>
          <w:b w:val="0"/>
          <w:i w:val="0"/>
          <w:sz w:val="22"/>
        </w:rPr>
        <w:t>—  AI-generated scenery;        —  social-media template effects.</w:t>
      </w:r>
    </w:p>
    <w:p>
      <w:pPr>
        <w:spacing w:before="56" w:after="32" w:line="240" w:lineRule="auto"/>
        <w:keepLines w:val="1"/>
        <w:keepNext w:val="1"/>
      </w:pPr>
      <w:r>
        <w:rPr>
          <w:b/>
          <w:i w:val="0"/>
          <w:color w:val="0F2346"/>
          <w:sz w:val="28"/>
        </w:rPr>
        <w:t>12.  Speaker-note update record</w:t>
      </w:r>
    </w:p>
    <w:p>
      <w:pPr>
        <w:spacing w:before="0" w:after="32" w:line="240" w:lineRule="auto"/>
      </w:pPr>
      <w:r>
        <w:rPr>
          <w:b w:val="0"/>
          <w:i w:val="0"/>
          <w:sz w:val="22"/>
        </w:rPr>
        <w:t>Both decks ship with speaker notes rewritten for the v4.0 script. The superseded v3.0 and v3.1 timings and narration cues have been removed; nothing on any slide was changed.</w:t>
      </w:r>
    </w:p>
    <w:p>
      <w:pPr>
        <w:spacing w:before="0" w:after="16" w:line="240" w:lineRule="auto"/>
        <w:keepLines w:val="1"/>
      </w:pPr>
      <w:r>
        <w:rPr>
          <w:b w:val="0"/>
          <w:i w:val="0"/>
          <w:sz w:val="22"/>
        </w:rPr>
        <w:t>—  Main deck: 12 notes parts rewritten, one per slide.</w:t>
      </w:r>
    </w:p>
    <w:p>
      <w:pPr>
        <w:spacing w:before="0" w:after="16" w:line="240" w:lineRule="auto"/>
        <w:keepLines w:val="1"/>
      </w:pPr>
      <w:r>
        <w:rPr>
          <w:b w:val="0"/>
          <w:i w:val="0"/>
          <w:sz w:val="22"/>
        </w:rPr>
        <w:t>—  Reveal deck: 25 notes parts rewritten, one per reveal frame.</w:t>
      </w:r>
    </w:p>
    <w:p>
      <w:pPr>
        <w:spacing w:before="0" w:after="16" w:line="240" w:lineRule="auto"/>
        <w:keepLines w:val="1"/>
      </w:pPr>
      <w:r>
        <w:rPr>
          <w:b w:val="0"/>
          <w:i w:val="0"/>
          <w:sz w:val="22"/>
        </w:rPr>
        <w:t>—  Slide XML, geometry, typography, palette and media: unchanged.</w:t>
      </w:r>
    </w:p>
    <w:p>
      <w:pPr>
        <w:spacing w:before="0" w:after="16" w:line="240" w:lineRule="auto"/>
        <w:keepLines w:val="1"/>
      </w:pPr>
      <w:r>
        <w:rPr>
          <w:b w:val="0"/>
          <w:i w:val="0"/>
          <w:sz w:val="22"/>
        </w:rPr>
        <w:t>—  Timings in the notes are script-derived working estimates at 145 words per minute for the 1,980-word v4.0 script. Replace them from the finished cut.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