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may not need to leave your company.”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not need to leave your company.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need access to work your current role is not giving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before you start assuming the only answer is a new employer, ask yourself: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work actually change if I move internally?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good internal move can put you closer to different problems, systems, stakeholders or decisions while letting you use context you have already built.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a new title with the same work may move you on the org chart without increasing what you can carry next.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