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DejaVu Serif" w:hAnsi="DejaVu Serif"/>
          <w:b/>
          <w:color w:val="0F2347"/>
          <w:sz w:val="44"/>
        </w:rPr>
        <w:t>PAID WORKSHOP</w:t>
      </w:r>
      <w:r>
        <w:br/>
      </w:r>
      <w:r>
        <w:rPr>
          <w:rFonts w:ascii="DejaVu Serif" w:hAnsi="DejaVu Serif"/>
          <w:b/>
          <w:color w:val="0F2347"/>
          <w:sz w:val="44"/>
        </w:rPr>
        <w:t>MAVEN POSITIONING, PRICING</w:t>
      </w:r>
      <w:r>
        <w:br/>
      </w:r>
      <w:r>
        <w:rPr>
          <w:rFonts w:ascii="DejaVu Serif" w:hAnsi="DejaVu Serif"/>
          <w:b/>
          <w:color w:val="0F2347"/>
          <w:sz w:val="44"/>
        </w:rPr>
        <w:t>AND LANDING PAGE MASTER</w:t>
      </w:r>
    </w:p>
    <w:p>
      <w:pPr>
        <w:spacing w:after="80" w:before="0"/>
      </w:pPr>
      <w:r>
        <w:rPr>
          <w:rFonts w:ascii="Inter" w:hAnsi="Inter"/>
          <w:b w:val="0"/>
          <w:i/>
          <w:color w:val="555555"/>
          <w:sz w:val="24"/>
        </w:rPr>
        <w:t>v3 FINAL — supersedes v2 FINAL. Source: v2 FINAL used as the editable source and not overwritten.</w:t>
      </w:r>
    </w:p>
    <w:p>
      <w:pPr>
        <w:spacing w:after="40" w:before="0"/>
      </w:pPr>
      <w:r>
        <w:rPr>
          <w:rFonts w:ascii="Inter" w:hAnsi="Inter"/>
          <w:b/>
          <w:i w:val="0"/>
          <w:color w:val="1A1A1A"/>
          <w:sz w:val="24"/>
        </w:rPr>
        <w:t>Temidayo Afonja</w:t>
      </w:r>
    </w:p>
    <w:p>
      <w:pPr>
        <w:spacing w:after="200" w:before="0"/>
      </w:pPr>
      <w:r>
        <w:rPr>
          <w:rFonts w:ascii="Inter" w:hAnsi="Inter"/>
          <w:b/>
          <w:i w:val="0"/>
          <w:color w:val="C1440E"/>
          <w:sz w:val="20"/>
        </w:rPr>
        <w:t>v3 changes: public maximum reduced 15 -&gt; 12; "launch price" removed from all visible page copy; a new "Private by Design" section added to the page; FAQ revised to four questions with limitations moved to a standalone disclaimer; instructor bio line updated; the competitive section relabeled internal-only; a launch blocker added requiring confirmed dates for both the main assessment and the 30-Day Evidence Review before enrollment opens; custom Maven Guarantee language removed in favor of Maven's own platform guarantee; the itemized-receipt promise softened to an operational-verification placeholder.</w:t>
      </w:r>
    </w:p>
    <w:p>
      <w:pPr>
        <w:spacing w:before="120" w:after="200"/>
      </w:pPr>
      <w:r>
        <w:rPr>
          <w:color w:val="555555"/>
          <w:sz w:val="16"/>
        </w:rPr>
        <w:t>――――――――――――――――――――――――――――――――――――――――――――――――――</w:t>
      </w:r>
    </w:p>
    <w:p>
      <w:pPr>
        <w:spacing w:before="320" w:after="120"/>
      </w:pPr>
      <w:r>
        <w:rPr>
          <w:rFonts w:ascii="DejaVu Serif" w:hAnsi="DejaVu Serif"/>
          <w:b/>
          <w:color w:val="0F2347"/>
          <w:sz w:val="30"/>
        </w:rPr>
        <w:t>LAUNCH BLOCKER</w:t>
      </w:r>
    </w:p>
    <w:p>
      <w:pPr>
        <w:spacing w:after="160" w:before="0"/>
      </w:pPr>
      <w:r>
        <w:rPr>
          <w:rFonts w:ascii="Inter" w:hAnsi="Inter"/>
          <w:b/>
          <w:i w:val="0"/>
          <w:color w:val="C1440E"/>
          <w:sz w:val="24"/>
        </w:rPr>
        <w:t>Do not publish the paid workshop until the main assessment and the 30-Day Evidence Review both have confirmed dates. Neither the Maven listing nor enrollment may go live with an unconfirmed or placeholder date for either session.</w:t>
      </w:r>
    </w:p>
    <w:p>
      <w:pPr>
        <w:spacing w:before="120" w:after="200"/>
      </w:pPr>
      <w:r>
        <w:rPr>
          <w:color w:val="555555"/>
          <w:sz w:val="16"/>
        </w:rPr>
        <w:t>――――――――――――――――――――――――――――――――――――――――――――――――――</w:t>
      </w:r>
    </w:p>
    <w:p>
      <w:pPr>
        <w:spacing w:before="320" w:after="120"/>
      </w:pPr>
      <w:r>
        <w:rPr>
          <w:rFonts w:ascii="DejaVu Serif" w:hAnsi="DejaVu Serif"/>
          <w:b/>
          <w:color w:val="0F2347"/>
          <w:sz w:val="30"/>
        </w:rPr>
        <w:t>DEFINITIVE PUBLIC IDENTITY AND PRICE</w:t>
      </w:r>
    </w:p>
    <w:tbl>
      <w:tblPr>
        <w:tblStyle w:val="LightGrid-Accent1"/>
        <w:tblW w:type="auto" w:w="0"/>
        <w:tblLook w:firstColumn="1" w:firstRow="1" w:lastColumn="0" w:lastRow="0" w:noHBand="0" w:noVBand="1" w:val="04A0"/>
      </w:tblPr>
      <w:tblGrid>
        <w:gridCol w:w="4824"/>
        <w:gridCol w:w="4824"/>
      </w:tblGrid>
      <w:tr>
        <w:tc>
          <w:tcPr>
            <w:tcW w:type="dxa" w:w="2880"/>
          </w:tcPr>
          <w:p>
            <w:r/>
            <w:r>
              <w:rPr>
                <w:rFonts w:ascii="Inter" w:hAnsi="Inter"/>
                <w:b/>
                <w:sz w:val="19"/>
              </w:rPr>
              <w:t>Field</w:t>
            </w:r>
          </w:p>
        </w:tc>
        <w:tc>
          <w:tcPr>
            <w:tcW w:type="dxa" w:w="6192"/>
          </w:tcPr>
          <w:p>
            <w:r/>
            <w:r>
              <w:rPr>
                <w:rFonts w:ascii="Inter" w:hAnsi="Inter"/>
                <w:b/>
                <w:sz w:val="19"/>
              </w:rPr>
              <w:t>Value</w:t>
            </w:r>
          </w:p>
        </w:tc>
      </w:tr>
      <w:tr>
        <w:tc>
          <w:tcPr>
            <w:tcW w:type="dxa" w:w="2880"/>
          </w:tcPr>
          <w:p>
            <w:r/>
            <w:r>
              <w:rPr>
                <w:rFonts w:ascii="Inter" w:hAnsi="Inter"/>
                <w:sz w:val="19"/>
              </w:rPr>
              <w:t>Public title</w:t>
            </w:r>
          </w:p>
        </w:tc>
        <w:tc>
          <w:tcPr>
            <w:tcW w:type="dxa" w:w="6192"/>
          </w:tcPr>
          <w:p>
            <w:r/>
            <w:r>
              <w:rPr>
                <w:rFonts w:ascii="Inter" w:hAnsi="Inter"/>
                <w:sz w:val="19"/>
              </w:rPr>
              <w:t>Decide Whether to Stay or Leave Your Job | A Live Career Growth Assessment</w:t>
            </w:r>
          </w:p>
        </w:tc>
      </w:tr>
      <w:tr>
        <w:tc>
          <w:tcPr>
            <w:tcW w:type="dxa" w:w="2880"/>
          </w:tcPr>
          <w:p>
            <w:r/>
            <w:r>
              <w:rPr>
                <w:rFonts w:ascii="Inter" w:hAnsi="Inter"/>
                <w:sz w:val="19"/>
              </w:rPr>
              <w:t>Method</w:t>
            </w:r>
          </w:p>
        </w:tc>
        <w:tc>
          <w:tcPr>
            <w:tcW w:type="dxa" w:w="6192"/>
          </w:tcPr>
          <w:p>
            <w:r/>
            <w:r>
              <w:rPr>
                <w:rFonts w:ascii="Inter" w:hAnsi="Inter"/>
                <w:sz w:val="19"/>
              </w:rPr>
              <w:t>The Capability Position Read</w:t>
            </w:r>
          </w:p>
        </w:tc>
      </w:tr>
      <w:tr>
        <w:tc>
          <w:tcPr>
            <w:tcW w:type="dxa" w:w="2880"/>
          </w:tcPr>
          <w:p>
            <w:r/>
            <w:r>
              <w:rPr>
                <w:rFonts w:ascii="Inter" w:hAnsi="Inter"/>
                <w:sz w:val="19"/>
              </w:rPr>
              <w:t>Brand line</w:t>
            </w:r>
          </w:p>
        </w:tc>
        <w:tc>
          <w:tcPr>
            <w:tcW w:type="dxa" w:w="6192"/>
          </w:tcPr>
          <w:p>
            <w:r/>
            <w:r>
              <w:rPr>
                <w:rFonts w:ascii="Inter" w:hAnsi="Inter"/>
                <w:sz w:val="19"/>
              </w:rPr>
              <w:t>A Capability Formation Workshop</w:t>
            </w:r>
          </w:p>
        </w:tc>
      </w:tr>
      <w:tr>
        <w:tc>
          <w:tcPr>
            <w:tcW w:type="dxa" w:w="2880"/>
          </w:tcPr>
          <w:p>
            <w:r/>
            <w:r>
              <w:rPr>
                <w:rFonts w:ascii="Inter" w:hAnsi="Inter"/>
                <w:sz w:val="19"/>
              </w:rPr>
              <w:t>Primary positioning line</w:t>
            </w:r>
          </w:p>
        </w:tc>
        <w:tc>
          <w:tcPr>
            <w:tcW w:type="dxa" w:w="6192"/>
          </w:tcPr>
          <w:p>
            <w:r/>
            <w:r>
              <w:rPr>
                <w:rFonts w:ascii="Inter" w:hAnsi="Inter"/>
                <w:sz w:val="19"/>
              </w:rPr>
              <w:t>Read the position before you make the move.</w:t>
            </w:r>
          </w:p>
        </w:tc>
      </w:tr>
      <w:tr>
        <w:tc>
          <w:tcPr>
            <w:tcW w:type="dxa" w:w="2880"/>
          </w:tcPr>
          <w:p>
            <w:r/>
            <w:r>
              <w:rPr>
                <w:rFonts w:ascii="Inter" w:hAnsi="Inter"/>
                <w:sz w:val="19"/>
              </w:rPr>
              <w:t>Category distinction</w:t>
            </w:r>
          </w:p>
        </w:tc>
        <w:tc>
          <w:tcPr>
            <w:tcW w:type="dxa" w:w="6192"/>
          </w:tcPr>
          <w:p>
            <w:r/>
            <w:r>
              <w:rPr>
                <w:rFonts w:ascii="Inter" w:hAnsi="Inter"/>
                <w:sz w:val="19"/>
              </w:rPr>
              <w:t>Most career programs begin after you decide to leave. This assessment helps you determine whether leaving is even the right question.</w:t>
            </w:r>
          </w:p>
        </w:tc>
      </w:tr>
      <w:tr>
        <w:tc>
          <w:tcPr>
            <w:tcW w:type="dxa" w:w="2880"/>
          </w:tcPr>
          <w:p>
            <w:r/>
            <w:r>
              <w:rPr>
                <w:rFonts w:ascii="Inter" w:hAnsi="Inter"/>
                <w:sz w:val="19"/>
              </w:rPr>
              <w:t>Price (internal source-of-truth)</w:t>
            </w:r>
          </w:p>
        </w:tc>
        <w:tc>
          <w:tcPr>
            <w:tcW w:type="dxa" w:w="6192"/>
          </w:tcPr>
          <w:p>
            <w:r/>
            <w:r>
              <w:rPr>
                <w:rFonts w:ascii="Inter" w:hAnsi="Inter"/>
                <w:sz w:val="19"/>
              </w:rPr>
              <w:t>$500. Public-facing copy displays only "$500" or "Enrollment: $500." Do not use the phrase "launch price" anywhere on the visible page.</w:t>
            </w:r>
          </w:p>
        </w:tc>
      </w:tr>
      <w:tr>
        <w:tc>
          <w:tcPr>
            <w:tcW w:type="dxa" w:w="2880"/>
          </w:tcPr>
          <w:p>
            <w:r/>
            <w:r>
              <w:rPr>
                <w:rFonts w:ascii="Inter" w:hAnsi="Inter"/>
                <w:sz w:val="19"/>
              </w:rPr>
              <w:t>Maximum cohort (public)</w:t>
            </w:r>
          </w:p>
        </w:tc>
        <w:tc>
          <w:tcPr>
            <w:tcW w:type="dxa" w:w="6192"/>
          </w:tcPr>
          <w:p>
            <w:r/>
            <w:r>
              <w:rPr>
                <w:rFonts w:ascii="Inter" w:hAnsi="Inter"/>
                <w:sz w:val="19"/>
              </w:rPr>
              <w:t>12 participants. Use the exact phrase "Limited to 12 participants."</w:t>
            </w:r>
          </w:p>
        </w:tc>
      </w:tr>
      <w:tr>
        <w:tc>
          <w:tcPr>
            <w:tcW w:type="dxa" w:w="2880"/>
          </w:tcPr>
          <w:p>
            <w:r/>
            <w:r>
              <w:rPr>
                <w:rFonts w:ascii="Inter" w:hAnsi="Inter"/>
                <w:sz w:val="19"/>
              </w:rPr>
              <w:t>Maximum cohort (internal note)</w:t>
            </w:r>
          </w:p>
        </w:tc>
        <w:tc>
          <w:tcPr>
            <w:tcW w:type="dxa" w:w="6192"/>
          </w:tcPr>
          <w:p>
            <w:r/>
            <w:r>
              <w:rPr>
                <w:rFonts w:ascii="Inter" w:hAnsi="Inter"/>
                <w:sz w:val="19"/>
              </w:rPr>
              <w:t>A later ceiling of 15 may be considered only after two clean deliveries, stable timing, and a dedicated producer. Not public-facing.</w:t>
            </w:r>
          </w:p>
        </w:tc>
      </w:tr>
    </w:tbl>
    <w:p>
      <w:pPr>
        <w:spacing w:after="120"/>
      </w:pPr>
    </w:p>
    <w:p>
      <w:pPr>
        <w:spacing w:after="200" w:before="0"/>
      </w:pPr>
      <w:r>
        <w:rPr>
          <w:rFonts w:ascii="Inter" w:hAnsi="Inter"/>
          <w:b/>
          <w:i w:val="0"/>
          <w:color w:val="C1440E"/>
          <w:sz w:val="22"/>
        </w:rPr>
        <w:t>Do not describe $500 as a founding discount, an early-bird price, a subscriber price, a beta price, a coupon price, or a temporary reduction. Do not use a struck-through comparison price. This price supersedes every previous reference to $349, $249, $149, or $99 wherever this document or the live page is used.</w:t>
      </w:r>
    </w:p>
    <w:p>
      <w:pPr>
        <w:spacing w:before="120" w:after="200"/>
      </w:pPr>
      <w:r>
        <w:rPr>
          <w:color w:val="555555"/>
          <w:sz w:val="16"/>
        </w:rPr>
        <w:t>――――――――――――――――――――――――――――――――――――――――――――――――――</w:t>
      </w:r>
    </w:p>
    <w:p>
      <w:pPr>
        <w:spacing w:before="320" w:after="120"/>
      </w:pPr>
      <w:r>
        <w:rPr>
          <w:rFonts w:ascii="DejaVu Serif" w:hAnsi="DejaVu Serif"/>
          <w:b/>
          <w:color w:val="0F2347"/>
          <w:sz w:val="30"/>
        </w:rPr>
        <w:t>POSITIONING REQUIREMENT</w:t>
      </w:r>
    </w:p>
    <w:p>
      <w:pPr>
        <w:spacing w:after="80" w:before="0"/>
      </w:pPr>
      <w:r>
        <w:rPr>
          <w:rFonts w:ascii="Inter" w:hAnsi="Inter"/>
          <w:b w:val="0"/>
          <w:i w:val="0"/>
          <w:color w:val="1A1A1A"/>
          <w:sz w:val="22"/>
        </w:rPr>
        <w:t>Do not position this primarily as a generic two-hour workshop or webinar. Position it as:</w:t>
      </w:r>
    </w:p>
    <w:p>
      <w:pPr>
        <w:pStyle w:val="ListBullet"/>
        <w:spacing w:after="60"/>
      </w:pPr>
      <w:r>
        <w:rPr>
          <w:rFonts w:ascii="Inter" w:hAnsi="Inter"/>
          <w:color w:val="1A1A1A"/>
          <w:sz w:val="22"/>
        </w:rPr>
        <w:t>a live career growth assessment</w:t>
      </w:r>
    </w:p>
    <w:p>
      <w:pPr>
        <w:pStyle w:val="ListBullet"/>
        <w:spacing w:after="60"/>
      </w:pPr>
      <w:r>
        <w:rPr>
          <w:rFonts w:ascii="Inter" w:hAnsi="Inter"/>
          <w:color w:val="1A1A1A"/>
          <w:sz w:val="22"/>
        </w:rPr>
        <w:t>an evidence-backed career decision engagement</w:t>
      </w:r>
    </w:p>
    <w:p>
      <w:pPr>
        <w:pStyle w:val="ListBullet"/>
        <w:spacing w:after="60"/>
      </w:pPr>
      <w:r>
        <w:rPr>
          <w:rFonts w:ascii="Inter" w:hAnsi="Inter"/>
          <w:color w:val="1A1A1A"/>
          <w:sz w:val="22"/>
        </w:rPr>
        <w:t>a guided Capability Position Read</w:t>
      </w:r>
    </w:p>
    <w:p>
      <w:pPr>
        <w:pStyle w:val="ListBullet"/>
        <w:spacing w:after="60"/>
      </w:pPr>
      <w:r>
        <w:rPr>
          <w:rFonts w:ascii="Inter" w:hAnsi="Inter"/>
          <w:color w:val="1A1A1A"/>
          <w:sz w:val="22"/>
        </w:rPr>
        <w:t>a limited-seat assessment for professionals deciding what their current role warrants next</w:t>
      </w:r>
    </w:p>
    <w:p>
      <w:pPr>
        <w:spacing w:after="80" w:before="160"/>
      </w:pPr>
      <w:r>
        <w:rPr>
          <w:rFonts w:ascii="Inter" w:hAnsi="Inter"/>
          <w:b/>
          <w:i w:val="0"/>
          <w:color w:val="1A1A1A"/>
          <w:sz w:val="22"/>
        </w:rPr>
        <w:t>The buyer is not paying for two hours of information. The buyer is paying to:</w:t>
      </w:r>
    </w:p>
    <w:p>
      <w:pPr>
        <w:spacing w:after="60"/>
      </w:pPr>
      <w:r>
        <w:rPr>
          <w:rFonts w:ascii="Inter" w:hAnsi="Inter"/>
          <w:b/>
          <w:color w:val="C1440E"/>
          <w:sz w:val="22"/>
        </w:rPr>
        <w:t xml:space="preserve">1.  </w:t>
      </w:r>
      <w:r>
        <w:rPr>
          <w:rFonts w:ascii="Inter" w:hAnsi="Inter"/>
          <w:sz w:val="22"/>
        </w:rPr>
        <w:t>Complete an initial career-position reading</w:t>
      </w:r>
    </w:p>
    <w:p>
      <w:pPr>
        <w:spacing w:after="60"/>
      </w:pPr>
      <w:r>
        <w:rPr>
          <w:rFonts w:ascii="Inter" w:hAnsi="Inter"/>
          <w:b/>
          <w:color w:val="C1440E"/>
          <w:sz w:val="22"/>
        </w:rPr>
        <w:t xml:space="preserve">2.  </w:t>
      </w:r>
      <w:r>
        <w:rPr>
          <w:rFonts w:ascii="Inter" w:hAnsi="Inter"/>
          <w:sz w:val="22"/>
        </w:rPr>
        <w:t>Test that reading against recent evidence</w:t>
      </w:r>
    </w:p>
    <w:p>
      <w:pPr>
        <w:spacing w:after="60"/>
      </w:pPr>
      <w:r>
        <w:rPr>
          <w:rFonts w:ascii="Inter" w:hAnsi="Inter"/>
          <w:b/>
          <w:color w:val="C1440E"/>
          <w:sz w:val="22"/>
        </w:rPr>
        <w:t xml:space="preserve">3.  </w:t>
      </w:r>
      <w:r>
        <w:rPr>
          <w:rFonts w:ascii="Inter" w:hAnsi="Inter"/>
          <w:sz w:val="22"/>
        </w:rPr>
        <w:t>Complete a corrected second reading</w:t>
      </w:r>
    </w:p>
    <w:p>
      <w:pPr>
        <w:spacing w:after="60"/>
      </w:pPr>
      <w:r>
        <w:rPr>
          <w:rFonts w:ascii="Inter" w:hAnsi="Inter"/>
          <w:b/>
          <w:color w:val="C1440E"/>
          <w:sz w:val="22"/>
        </w:rPr>
        <w:t xml:space="preserve">4.  </w:t>
      </w:r>
      <w:r>
        <w:rPr>
          <w:rFonts w:ascii="Inter" w:hAnsi="Inter"/>
          <w:sz w:val="22"/>
        </w:rPr>
        <w:t>Locate a provisional state or boundary reading</w:t>
      </w:r>
    </w:p>
    <w:p>
      <w:pPr>
        <w:spacing w:after="60"/>
      </w:pPr>
      <w:r>
        <w:rPr>
          <w:rFonts w:ascii="Inter" w:hAnsi="Inter"/>
          <w:b/>
          <w:color w:val="C1440E"/>
          <w:sz w:val="22"/>
        </w:rPr>
        <w:t xml:space="preserve">5.  </w:t>
      </w:r>
      <w:r>
        <w:rPr>
          <w:rFonts w:ascii="Inter" w:hAnsi="Inter"/>
          <w:sz w:val="22"/>
        </w:rPr>
        <w:t>Examine uncertainty responsibly</w:t>
      </w:r>
    </w:p>
    <w:p>
      <w:pPr>
        <w:spacing w:after="60"/>
      </w:pPr>
      <w:r>
        <w:rPr>
          <w:rFonts w:ascii="Inter" w:hAnsi="Inter"/>
          <w:b/>
          <w:color w:val="C1440E"/>
          <w:sz w:val="22"/>
        </w:rPr>
        <w:t xml:space="preserve">6.  </w:t>
      </w:r>
      <w:r>
        <w:rPr>
          <w:rFonts w:ascii="Inter" w:hAnsi="Inter"/>
          <w:sz w:val="22"/>
        </w:rPr>
        <w:t>Choose one category of move to test</w:t>
      </w:r>
    </w:p>
    <w:p>
      <w:pPr>
        <w:spacing w:after="60"/>
      </w:pPr>
      <w:r>
        <w:rPr>
          <w:rFonts w:ascii="Inter" w:hAnsi="Inter"/>
          <w:b/>
          <w:color w:val="C1440E"/>
          <w:sz w:val="22"/>
        </w:rPr>
        <w:t xml:space="preserve">7.  </w:t>
      </w:r>
      <w:r>
        <w:rPr>
          <w:rFonts w:ascii="Inter" w:hAnsi="Inter"/>
          <w:sz w:val="22"/>
        </w:rPr>
        <w:t>Complete a written Next-Move Decision</w:t>
      </w:r>
    </w:p>
    <w:p>
      <w:pPr>
        <w:spacing w:after="60"/>
      </w:pPr>
      <w:r>
        <w:rPr>
          <w:rFonts w:ascii="Inter" w:hAnsi="Inter"/>
          <w:b/>
          <w:color w:val="C1440E"/>
          <w:sz w:val="22"/>
        </w:rPr>
        <w:t xml:space="preserve">8.  </w:t>
      </w:r>
      <w:r>
        <w:rPr>
          <w:rFonts w:ascii="Inter" w:hAnsi="Inter"/>
          <w:sz w:val="22"/>
        </w:rPr>
        <w:t>Continue through a 30-day evidence process</w:t>
      </w:r>
    </w:p>
    <w:p>
      <w:pPr>
        <w:spacing w:after="60"/>
      </w:pPr>
      <w:r>
        <w:rPr>
          <w:rFonts w:ascii="Inter" w:hAnsi="Inter"/>
          <w:b/>
          <w:color w:val="C1440E"/>
          <w:sz w:val="22"/>
        </w:rPr>
        <w:t xml:space="preserve">9.  </w:t>
      </w:r>
      <w:r>
        <w:rPr>
          <w:rFonts w:ascii="Inter" w:hAnsi="Inter"/>
          <w:sz w:val="22"/>
        </w:rPr>
        <w:t>Prepare for a 90-day rescore</w:t>
      </w:r>
    </w:p>
    <w:p>
      <w:pPr>
        <w:spacing w:before="120" w:after="200"/>
      </w:pPr>
      <w:r>
        <w:rPr>
          <w:color w:val="555555"/>
          <w:sz w:val="16"/>
        </w:rPr>
        <w:t>――――――――――――――――――――――――――――――――――――――――――――――――――</w:t>
      </w:r>
    </w:p>
    <w:p>
      <w:pPr>
        <w:spacing w:before="320" w:after="120"/>
      </w:pPr>
      <w:r>
        <w:rPr>
          <w:rFonts w:ascii="DejaVu Serif" w:hAnsi="DejaVu Serif"/>
          <w:b/>
          <w:color w:val="C1440E"/>
          <w:sz w:val="30"/>
        </w:rPr>
        <w:t>INTERNAL POSITIONING — DO NOT PUBLISH</w:t>
      </w:r>
    </w:p>
    <w:p>
      <w:pPr>
        <w:spacing w:after="120" w:before="0"/>
      </w:pPr>
      <w:r>
        <w:rPr>
          <w:rFonts w:ascii="Inter" w:hAnsi="Inter"/>
          <w:b/>
          <w:i w:val="0"/>
          <w:color w:val="C1440E"/>
          <w:sz w:val="22"/>
        </w:rPr>
        <w:t>Internal reference only. None of this section's competitor-specific language — including "Freedom Number" — appears anywhere on the live Maven page or in any of the 17 numbered page sections below.</w:t>
      </w:r>
    </w:p>
    <w:p>
      <w:pPr>
        <w:spacing w:after="80" w:before="0"/>
      </w:pPr>
      <w:r>
        <w:rPr>
          <w:rFonts w:ascii="Inter" w:hAnsi="Inter"/>
          <w:b w:val="0"/>
          <w:i w:val="0"/>
          <w:color w:val="1A1A1A"/>
          <w:sz w:val="22"/>
        </w:rPr>
        <w:t>Do not name or criticize competing Maven courses. Make the distinction clear through the offer's scope, internally. This assessment is not:</w:t>
      </w:r>
    </w:p>
    <w:p>
      <w:pPr>
        <w:pStyle w:val="ListBullet"/>
        <w:spacing w:after="60"/>
      </w:pPr>
      <w:r>
        <w:rPr>
          <w:rFonts w:ascii="Inter" w:hAnsi="Inter"/>
          <w:color w:val="1A1A1A"/>
          <w:sz w:val="22"/>
        </w:rPr>
        <w:t>a multi-week career-reinvention course</w:t>
      </w:r>
    </w:p>
    <w:p>
      <w:pPr>
        <w:pStyle w:val="ListBullet"/>
        <w:spacing w:after="60"/>
      </w:pPr>
      <w:r>
        <w:rPr>
          <w:rFonts w:ascii="Inter" w:hAnsi="Inter"/>
          <w:color w:val="1A1A1A"/>
          <w:sz w:val="22"/>
        </w:rPr>
        <w:t>financial planning</w:t>
      </w:r>
    </w:p>
    <w:p>
      <w:pPr>
        <w:pStyle w:val="ListBullet"/>
        <w:spacing w:after="60"/>
      </w:pPr>
      <w:r>
        <w:rPr>
          <w:rFonts w:ascii="Inter" w:hAnsi="Inter"/>
          <w:color w:val="1A1A1A"/>
          <w:sz w:val="22"/>
        </w:rPr>
        <w:t>a Freedom Number exercise</w:t>
      </w:r>
    </w:p>
    <w:p>
      <w:pPr>
        <w:pStyle w:val="ListBullet"/>
        <w:spacing w:after="60"/>
      </w:pPr>
      <w:r>
        <w:rPr>
          <w:rFonts w:ascii="Inter" w:hAnsi="Inter"/>
          <w:color w:val="1A1A1A"/>
          <w:sz w:val="22"/>
        </w:rPr>
        <w:t>personal branding</w:t>
      </w:r>
    </w:p>
    <w:p>
      <w:pPr>
        <w:pStyle w:val="ListBullet"/>
        <w:spacing w:after="60"/>
      </w:pPr>
      <w:r>
        <w:rPr>
          <w:rFonts w:ascii="Inter" w:hAnsi="Inter"/>
          <w:color w:val="1A1A1A"/>
          <w:sz w:val="22"/>
        </w:rPr>
        <w:t>résumé or LinkedIn revision</w:t>
      </w:r>
    </w:p>
    <w:p>
      <w:pPr>
        <w:pStyle w:val="ListBullet"/>
        <w:spacing w:after="60"/>
      </w:pPr>
      <w:r>
        <w:rPr>
          <w:rFonts w:ascii="Inter" w:hAnsi="Inter"/>
          <w:color w:val="1A1A1A"/>
          <w:sz w:val="22"/>
        </w:rPr>
        <w:t>job-search training</w:t>
      </w:r>
    </w:p>
    <w:p>
      <w:pPr>
        <w:pStyle w:val="ListBullet"/>
        <w:spacing w:after="60"/>
      </w:pPr>
      <w:r>
        <w:rPr>
          <w:rFonts w:ascii="Inter" w:hAnsi="Inter"/>
          <w:color w:val="1A1A1A"/>
          <w:sz w:val="22"/>
        </w:rPr>
        <w:t>interview preparation</w:t>
      </w:r>
    </w:p>
    <w:p>
      <w:pPr>
        <w:pStyle w:val="ListBullet"/>
        <w:spacing w:after="60"/>
      </w:pPr>
      <w:r>
        <w:rPr>
          <w:rFonts w:ascii="Inter" w:hAnsi="Inter"/>
          <w:color w:val="1A1A1A"/>
          <w:sz w:val="22"/>
        </w:rPr>
        <w:t>a personality or career-interest test</w:t>
      </w:r>
    </w:p>
    <w:p>
      <w:pPr>
        <w:pStyle w:val="ListBullet"/>
        <w:spacing w:after="60"/>
      </w:pPr>
      <w:r>
        <w:rPr>
          <w:rFonts w:ascii="Inter" w:hAnsi="Inter"/>
          <w:color w:val="1A1A1A"/>
          <w:sz w:val="22"/>
        </w:rPr>
        <w:t>broad identity coaching</w:t>
      </w:r>
    </w:p>
    <w:p>
      <w:pPr>
        <w:pStyle w:val="ListBullet"/>
        <w:spacing w:after="60"/>
      </w:pPr>
      <w:r>
        <w:rPr>
          <w:rFonts w:ascii="Inter" w:hAnsi="Inter"/>
          <w:color w:val="1A1A1A"/>
          <w:sz w:val="22"/>
        </w:rPr>
        <w:t>an instruction to leave</w:t>
      </w:r>
    </w:p>
    <w:p>
      <w:pPr>
        <w:spacing w:after="40" w:before="160"/>
      </w:pPr>
      <w:r>
        <w:rPr>
          <w:rFonts w:ascii="Inter" w:hAnsi="Inter"/>
          <w:b/>
          <w:i w:val="0"/>
          <w:color w:val="1A1A1A"/>
          <w:sz w:val="22"/>
        </w:rPr>
        <w:t>It is specifically designed to answer:</w:t>
      </w:r>
    </w:p>
    <w:p>
      <w:pPr>
        <w:spacing w:after="200"/>
      </w:pPr>
      <w:r>
        <w:rPr>
          <w:rFonts w:ascii="DejaVu Serif" w:hAnsi="DejaVu Serif"/>
          <w:i/>
          <w:color w:val="0F2347"/>
          <w:sz w:val="26"/>
        </w:rPr>
        <w:t>“What is my current role actually building, does that capability travel, and what category of move does my evidence support testing?”</w:t>
      </w:r>
    </w:p>
    <w:p>
      <w:pPr>
        <w:spacing w:before="120" w:after="200"/>
      </w:pPr>
      <w:r>
        <w:rPr>
          <w:color w:val="555555"/>
          <w:sz w:val="16"/>
        </w:rPr>
        <w:t>――――――――――――――――――――――――――――――――――――――――――――――――――</w:t>
      </w:r>
    </w:p>
    <w:p>
      <w:pPr>
        <w:spacing w:before="320" w:after="120"/>
      </w:pPr>
      <w:r>
        <w:rPr>
          <w:rFonts w:ascii="DejaVu Serif" w:hAnsi="DejaVu Serif"/>
          <w:b/>
          <w:color w:val="0F2347"/>
          <w:sz w:val="30"/>
        </w:rPr>
        <w:t>30-DAY EVIDENCE REVIEW (INCLUDED)</w:t>
      </w:r>
    </w:p>
    <w:tbl>
      <w:tblPr>
        <w:tblStyle w:val="LightGrid-Accent1"/>
        <w:tblW w:type="auto" w:w="0"/>
        <w:tblLook w:firstColumn="1" w:firstRow="1" w:lastColumn="0" w:lastRow="0" w:noHBand="0" w:noVBand="1" w:val="04A0"/>
      </w:tblPr>
      <w:tblGrid>
        <w:gridCol w:w="4824"/>
        <w:gridCol w:w="4824"/>
      </w:tblGrid>
      <w:tr>
        <w:tc>
          <w:tcPr>
            <w:tcW w:type="dxa" w:w="2160"/>
          </w:tcPr>
          <w:p>
            <w:r/>
            <w:r>
              <w:rPr>
                <w:rFonts w:ascii="Inter" w:hAnsi="Inter"/>
                <w:b/>
                <w:sz w:val="19"/>
              </w:rPr>
              <w:t>Field</w:t>
            </w:r>
          </w:p>
        </w:tc>
        <w:tc>
          <w:tcPr>
            <w:tcW w:type="dxa" w:w="7200"/>
          </w:tcPr>
          <w:p>
            <w:r/>
            <w:r>
              <w:rPr>
                <w:rFonts w:ascii="Inter" w:hAnsi="Inter"/>
                <w:b/>
                <w:sz w:val="19"/>
              </w:rPr>
              <w:t>Detail</w:t>
            </w:r>
          </w:p>
        </w:tc>
      </w:tr>
      <w:tr>
        <w:tc>
          <w:tcPr>
            <w:tcW w:type="dxa" w:w="2160"/>
          </w:tcPr>
          <w:p>
            <w:r/>
            <w:r>
              <w:rPr>
                <w:rFonts w:ascii="Inter" w:hAnsi="Inter"/>
                <w:sz w:val="19"/>
              </w:rPr>
              <w:t>Format</w:t>
            </w:r>
          </w:p>
        </w:tc>
        <w:tc>
          <w:tcPr>
            <w:tcW w:type="dxa" w:w="7200"/>
          </w:tcPr>
          <w:p>
            <w:r/>
            <w:r>
              <w:rPr>
                <w:rFonts w:ascii="Inter" w:hAnsi="Inter"/>
                <w:sz w:val="19"/>
              </w:rPr>
              <w:t>45-minute live group review, held approximately 30 days after the main assessment.</w:t>
            </w:r>
          </w:p>
        </w:tc>
      </w:tr>
      <w:tr>
        <w:tc>
          <w:tcPr>
            <w:tcW w:type="dxa" w:w="2160"/>
          </w:tcPr>
          <w:p>
            <w:r/>
            <w:r>
              <w:rPr>
                <w:rFonts w:ascii="Inter" w:hAnsi="Inter"/>
                <w:sz w:val="19"/>
              </w:rPr>
              <w:t>Purpose</w:t>
            </w:r>
          </w:p>
        </w:tc>
        <w:tc>
          <w:tcPr>
            <w:tcW w:type="dxa" w:w="7200"/>
          </w:tcPr>
          <w:p>
            <w:r/>
            <w:r>
              <w:rPr>
                <w:rFonts w:ascii="Inter" w:hAnsi="Inter"/>
                <w:sz w:val="19"/>
              </w:rPr>
              <w:t>Review evidence collected during the first 30 days; examine whether the initial move category still holds; identify what changed in the work, evidence, or interpretation; reinforce the 90-day rescore process; answer process and application questions without prescribing employment decisions.</w:t>
            </w:r>
          </w:p>
        </w:tc>
      </w:tr>
      <w:tr>
        <w:tc>
          <w:tcPr>
            <w:tcW w:type="dxa" w:w="2160"/>
          </w:tcPr>
          <w:p>
            <w:r/>
            <w:r>
              <w:rPr>
                <w:rFonts w:ascii="Inter" w:hAnsi="Inter"/>
                <w:sz w:val="19"/>
              </w:rPr>
              <w:t>Scheduling requirement</w:t>
            </w:r>
          </w:p>
        </w:tc>
        <w:tc>
          <w:tcPr>
            <w:tcW w:type="dxa" w:w="7200"/>
          </w:tcPr>
          <w:p>
            <w:r/>
            <w:r>
              <w:rPr>
                <w:rFonts w:ascii="Inter" w:hAnsi="Inter"/>
                <w:sz w:val="19"/>
              </w:rPr>
              <w:t>The exact date and time must be entered in the Maven schedule before enrollment opens — see Launch Blocker above.</w:t>
            </w:r>
          </w:p>
        </w:tc>
      </w:tr>
    </w:tbl>
    <w:p>
      <w:pPr>
        <w:spacing w:after="120"/>
      </w:pPr>
    </w:p>
    <w:p>
      <w:pPr>
        <w:spacing w:after="160" w:before="0"/>
      </w:pPr>
      <w:r>
        <w:rPr>
          <w:rFonts w:ascii="Inter" w:hAnsi="Inter"/>
          <w:b/>
          <w:i w:val="0"/>
          <w:color w:val="C1440E"/>
          <w:sz w:val="22"/>
        </w:rPr>
        <w:t>Does not repeat the full 12-statement assessment. Does not collect private scores or workbook responses.</w:t>
      </w:r>
    </w:p>
    <w:p>
      <w:pPr>
        <w:spacing w:before="160" w:after="60"/>
      </w:pPr>
      <w:r>
        <w:rPr>
          <w:rFonts w:ascii="Inter" w:hAnsi="Inter"/>
          <w:b/>
          <w:color w:val="C9A84C"/>
          <w:sz w:val="20"/>
        </w:rPr>
        <w:t>UPDATED PUBLIC OFFER</w:t>
      </w:r>
    </w:p>
    <w:p>
      <w:pPr>
        <w:pStyle w:val="ListBullet"/>
        <w:spacing w:after="60"/>
      </w:pPr>
      <w:r>
        <w:rPr>
          <w:rFonts w:ascii="Inter" w:hAnsi="Inter"/>
          <w:color w:val="1A1A1A"/>
          <w:sz w:val="22"/>
        </w:rPr>
        <w:t>Two-hour live Career Growth Assessment</w:t>
      </w:r>
    </w:p>
    <w:p>
      <w:pPr>
        <w:pStyle w:val="ListBullet"/>
        <w:spacing w:after="60"/>
      </w:pPr>
      <w:r>
        <w:rPr>
          <w:rFonts w:ascii="Inter" w:hAnsi="Inter"/>
          <w:color w:val="1A1A1A"/>
          <w:sz w:val="22"/>
        </w:rPr>
        <w:t>105-minute guided Capability Position Read</w:t>
      </w:r>
    </w:p>
    <w:p>
      <w:pPr>
        <w:pStyle w:val="ListBullet"/>
        <w:spacing w:after="60"/>
      </w:pPr>
      <w:r>
        <w:rPr>
          <w:rFonts w:ascii="Inter" w:hAnsi="Inter"/>
          <w:color w:val="1A1A1A"/>
          <w:sz w:val="22"/>
        </w:rPr>
        <w:t>15-minute Q&amp;A and applications</w:t>
      </w:r>
    </w:p>
    <w:p>
      <w:pPr>
        <w:pStyle w:val="ListBullet"/>
        <w:spacing w:after="60"/>
      </w:pPr>
      <w:r>
        <w:rPr>
          <w:rFonts w:ascii="Inter" w:hAnsi="Inter"/>
          <w:color w:val="1A1A1A"/>
          <w:sz w:val="22"/>
        </w:rPr>
        <w:t>45-minute live 30-Day Evidence Review</w:t>
      </w:r>
    </w:p>
    <w:p>
      <w:pPr>
        <w:pStyle w:val="ListBullet"/>
        <w:spacing w:after="60"/>
      </w:pPr>
      <w:r>
        <w:rPr>
          <w:rFonts w:ascii="Inter" w:hAnsi="Inter"/>
          <w:color w:val="1A1A1A"/>
          <w:sz w:val="22"/>
        </w:rPr>
        <w:t>Field Kit</w:t>
      </w:r>
    </w:p>
    <w:p>
      <w:pPr>
        <w:pStyle w:val="ListBullet"/>
        <w:spacing w:after="60"/>
      </w:pPr>
      <w:r>
        <w:rPr>
          <w:rFonts w:ascii="Inter" w:hAnsi="Inter"/>
          <w:color w:val="1A1A1A"/>
          <w:sz w:val="22"/>
        </w:rPr>
        <w:t>30-day evidence process</w:t>
      </w:r>
    </w:p>
    <w:p>
      <w:pPr>
        <w:pStyle w:val="ListBullet"/>
        <w:spacing w:after="60"/>
      </w:pPr>
      <w:r>
        <w:rPr>
          <w:rFonts w:ascii="Inter" w:hAnsi="Inter"/>
          <w:color w:val="1A1A1A"/>
          <w:sz w:val="22"/>
        </w:rPr>
        <w:t>90-day rescore reminder</w:t>
      </w:r>
    </w:p>
    <w:p>
      <w:pPr>
        <w:pStyle w:val="ListBullet"/>
        <w:spacing w:after="60"/>
      </w:pPr>
      <w:r>
        <w:rPr>
          <w:rFonts w:ascii="Inter" w:hAnsi="Inter"/>
          <w:color w:val="1A1A1A"/>
          <w:sz w:val="22"/>
        </w:rPr>
        <w:t>Limited to 12 participants</w:t>
      </w:r>
    </w:p>
    <w:p>
      <w:pPr>
        <w:pStyle w:val="ListBullet"/>
        <w:spacing w:after="60"/>
      </w:pPr>
      <w:r>
        <w:rPr>
          <w:rFonts w:ascii="Inter" w:hAnsi="Inter"/>
          <w:color w:val="1A1A1A"/>
          <w:sz w:val="22"/>
        </w:rPr>
        <w:t>$500</w:t>
      </w:r>
    </w:p>
    <w:p>
      <w:pPr>
        <w:spacing w:before="120" w:after="200"/>
      </w:pPr>
      <w:r>
        <w:rPr>
          <w:color w:val="555555"/>
          <w:sz w:val="16"/>
        </w:rPr>
        <w:t>――――――――――――――――――――――――――――――――――――――――――――――――――</w:t>
      </w:r>
    </w:p>
    <w:p>
      <w:pPr>
        <w:spacing w:before="320" w:after="120"/>
      </w:pPr>
      <w:r>
        <w:rPr>
          <w:rFonts w:ascii="DejaVu Serif" w:hAnsi="DejaVu Serif"/>
          <w:b/>
          <w:color w:val="0F2347"/>
          <w:sz w:val="30"/>
        </w:rPr>
        <w:t>MAVEN LANDING PAGE — SECTION ORDER AND COPY</w:t>
      </w:r>
    </w:p>
    <w:p>
      <w:pPr>
        <w:spacing w:after="120" w:before="0"/>
      </w:pPr>
      <w:r>
        <w:rPr>
          <w:rFonts w:ascii="Inter" w:hAnsi="Inter"/>
          <w:b w:val="0"/>
          <w:i/>
          <w:color w:val="555555"/>
          <w:sz w:val="22"/>
        </w:rPr>
        <w:t>Use this order on the live page. "Private by Design" is new in v3, inserted after "How the Capability Position Read Works"; every section after it has shifted down by one position from v2.</w:t>
      </w:r>
    </w:p>
    <w:p>
      <w:pPr>
        <w:spacing w:after="40"/>
      </w:pPr>
      <w:r>
        <w:rPr>
          <w:rFonts w:ascii="Inter" w:hAnsi="Inter"/>
          <w:b/>
          <w:color w:val="C9A84C"/>
          <w:sz w:val="21"/>
        </w:rPr>
        <w:t xml:space="preserve">1.  </w:t>
      </w:r>
      <w:r>
        <w:rPr>
          <w:rFonts w:ascii="Inter" w:hAnsi="Inter"/>
          <w:sz w:val="21"/>
        </w:rPr>
        <w:t>Hero</w:t>
      </w:r>
    </w:p>
    <w:p>
      <w:pPr>
        <w:spacing w:after="40"/>
      </w:pPr>
      <w:r>
        <w:rPr>
          <w:rFonts w:ascii="Inter" w:hAnsi="Inter"/>
          <w:b/>
          <w:color w:val="C9A84C"/>
          <w:sz w:val="21"/>
        </w:rPr>
        <w:t xml:space="preserve">2.  </w:t>
      </w:r>
      <w:r>
        <w:rPr>
          <w:rFonts w:ascii="Inter" w:hAnsi="Inter"/>
          <w:sz w:val="21"/>
        </w:rPr>
        <w:t>Urgent problem recognition</w:t>
      </w:r>
    </w:p>
    <w:p>
      <w:pPr>
        <w:spacing w:after="40"/>
      </w:pPr>
      <w:r>
        <w:rPr>
          <w:rFonts w:ascii="Inter" w:hAnsi="Inter"/>
          <w:b/>
          <w:color w:val="C9A84C"/>
          <w:sz w:val="21"/>
        </w:rPr>
        <w:t xml:space="preserve">3.  </w:t>
      </w:r>
      <w:r>
        <w:rPr>
          <w:rFonts w:ascii="Inter" w:hAnsi="Inter"/>
          <w:sz w:val="21"/>
        </w:rPr>
        <w:t>What this assessment helps you decide</w:t>
      </w:r>
    </w:p>
    <w:p>
      <w:pPr>
        <w:spacing w:after="40"/>
      </w:pPr>
      <w:r>
        <w:rPr>
          <w:rFonts w:ascii="Inter" w:hAnsi="Inter"/>
          <w:b/>
          <w:color w:val="C9A84C"/>
          <w:sz w:val="21"/>
        </w:rPr>
        <w:t xml:space="preserve">4.  </w:t>
      </w:r>
      <w:r>
        <w:rPr>
          <w:rFonts w:ascii="Inter" w:hAnsi="Inter"/>
          <w:sz w:val="21"/>
        </w:rPr>
        <w:t>What you will leave with</w:t>
      </w:r>
    </w:p>
    <w:p>
      <w:pPr>
        <w:spacing w:after="40"/>
      </w:pPr>
      <w:r>
        <w:rPr>
          <w:rFonts w:ascii="Inter" w:hAnsi="Inter"/>
          <w:b/>
          <w:color w:val="C9A84C"/>
          <w:sz w:val="21"/>
        </w:rPr>
        <w:t xml:space="preserve">5.  </w:t>
      </w:r>
      <w:r>
        <w:rPr>
          <w:rFonts w:ascii="Inter" w:hAnsi="Inter"/>
          <w:sz w:val="21"/>
        </w:rPr>
        <w:t>Why the first self-assessment is not enough</w:t>
      </w:r>
    </w:p>
    <w:p>
      <w:pPr>
        <w:spacing w:after="40"/>
      </w:pPr>
      <w:r>
        <w:rPr>
          <w:rFonts w:ascii="Inter" w:hAnsi="Inter"/>
          <w:b/>
          <w:color w:val="C9A84C"/>
          <w:sz w:val="21"/>
        </w:rPr>
        <w:t xml:space="preserve">6.  </w:t>
      </w:r>
      <w:r>
        <w:rPr>
          <w:rFonts w:ascii="Inter" w:hAnsi="Inter"/>
          <w:sz w:val="21"/>
        </w:rPr>
        <w:t>How the Capability Position Read works</w:t>
      </w:r>
    </w:p>
    <w:p>
      <w:pPr>
        <w:spacing w:after="40"/>
      </w:pPr>
      <w:r>
        <w:rPr>
          <w:rFonts w:ascii="Inter" w:hAnsi="Inter"/>
          <w:b/>
          <w:color w:val="C9A84C"/>
          <w:sz w:val="21"/>
        </w:rPr>
        <w:t xml:space="preserve">7.  </w:t>
      </w:r>
      <w:r>
        <w:rPr>
          <w:rFonts w:ascii="Inter" w:hAnsi="Inter"/>
          <w:sz w:val="21"/>
        </w:rPr>
        <w:t>Private by design</w:t>
      </w:r>
    </w:p>
    <w:p>
      <w:pPr>
        <w:spacing w:after="40"/>
      </w:pPr>
      <w:r>
        <w:rPr>
          <w:rFonts w:ascii="Inter" w:hAnsi="Inter"/>
          <w:b/>
          <w:color w:val="C9A84C"/>
          <w:sz w:val="21"/>
        </w:rPr>
        <w:t xml:space="preserve">8.  </w:t>
      </w:r>
      <w:r>
        <w:rPr>
          <w:rFonts w:ascii="Inter" w:hAnsi="Inter"/>
          <w:sz w:val="21"/>
        </w:rPr>
        <w:t>What is included</w:t>
      </w:r>
    </w:p>
    <w:p>
      <w:pPr>
        <w:spacing w:after="40"/>
      </w:pPr>
      <w:r>
        <w:rPr>
          <w:rFonts w:ascii="Inter" w:hAnsi="Inter"/>
          <w:b/>
          <w:color w:val="C9A84C"/>
          <w:sz w:val="21"/>
        </w:rPr>
        <w:t xml:space="preserve">9.  </w:t>
      </w:r>
      <w:r>
        <w:rPr>
          <w:rFonts w:ascii="Inter" w:hAnsi="Inter"/>
          <w:sz w:val="21"/>
        </w:rPr>
        <w:t>Who it is for</w:t>
      </w:r>
    </w:p>
    <w:p>
      <w:pPr>
        <w:spacing w:after="40"/>
      </w:pPr>
      <w:r>
        <w:rPr>
          <w:rFonts w:ascii="Inter" w:hAnsi="Inter"/>
          <w:b/>
          <w:color w:val="C9A84C"/>
          <w:sz w:val="21"/>
        </w:rPr>
        <w:t xml:space="preserve">10.  </w:t>
      </w:r>
      <w:r>
        <w:rPr>
          <w:rFonts w:ascii="Inter" w:hAnsi="Inter"/>
          <w:sz w:val="21"/>
        </w:rPr>
        <w:t>Who it is not for</w:t>
      </w:r>
    </w:p>
    <w:p>
      <w:pPr>
        <w:spacing w:after="40"/>
      </w:pPr>
      <w:r>
        <w:rPr>
          <w:rFonts w:ascii="Inter" w:hAnsi="Inter"/>
          <w:b/>
          <w:color w:val="C9A84C"/>
          <w:sz w:val="21"/>
        </w:rPr>
        <w:t xml:space="preserve">11.  </w:t>
      </w:r>
      <w:r>
        <w:rPr>
          <w:rFonts w:ascii="Inter" w:hAnsi="Inter"/>
          <w:sz w:val="21"/>
        </w:rPr>
        <w:t>Format and timeline</w:t>
      </w:r>
    </w:p>
    <w:p>
      <w:pPr>
        <w:spacing w:after="40"/>
      </w:pPr>
      <w:r>
        <w:rPr>
          <w:rFonts w:ascii="Inter" w:hAnsi="Inter"/>
          <w:b/>
          <w:color w:val="C9A84C"/>
          <w:sz w:val="21"/>
        </w:rPr>
        <w:t xml:space="preserve">12.  </w:t>
      </w:r>
      <w:r>
        <w:rPr>
          <w:rFonts w:ascii="Inter" w:hAnsi="Inter"/>
          <w:sz w:val="21"/>
        </w:rPr>
        <w:t>30-Day Evidence Review</w:t>
      </w:r>
    </w:p>
    <w:p>
      <w:pPr>
        <w:spacing w:after="40"/>
      </w:pPr>
      <w:r>
        <w:rPr>
          <w:rFonts w:ascii="Inter" w:hAnsi="Inter"/>
          <w:b/>
          <w:color w:val="C9A84C"/>
          <w:sz w:val="21"/>
        </w:rPr>
        <w:t xml:space="preserve">13.  </w:t>
      </w:r>
      <w:r>
        <w:rPr>
          <w:rFonts w:ascii="Inter" w:hAnsi="Inter"/>
          <w:sz w:val="21"/>
        </w:rPr>
        <w:t>Instructor credibility</w:t>
      </w:r>
    </w:p>
    <w:p>
      <w:pPr>
        <w:spacing w:after="40"/>
      </w:pPr>
      <w:r>
        <w:rPr>
          <w:rFonts w:ascii="Inter" w:hAnsi="Inter"/>
          <w:b/>
          <w:color w:val="C9A84C"/>
          <w:sz w:val="21"/>
        </w:rPr>
        <w:t xml:space="preserve">14.  </w:t>
      </w:r>
      <w:r>
        <w:rPr>
          <w:rFonts w:ascii="Inter" w:hAnsi="Inter"/>
          <w:sz w:val="21"/>
        </w:rPr>
        <w:t>Price and enrollment</w:t>
      </w:r>
    </w:p>
    <w:p>
      <w:pPr>
        <w:spacing w:after="40"/>
      </w:pPr>
      <w:r>
        <w:rPr>
          <w:rFonts w:ascii="Inter" w:hAnsi="Inter"/>
          <w:b/>
          <w:color w:val="C9A84C"/>
          <w:sz w:val="21"/>
        </w:rPr>
        <w:t xml:space="preserve">15.  </w:t>
      </w:r>
      <w:r>
        <w:rPr>
          <w:rFonts w:ascii="Inter" w:hAnsi="Inter"/>
          <w:sz w:val="21"/>
        </w:rPr>
        <w:t>FAQ</w:t>
      </w:r>
    </w:p>
    <w:p>
      <w:pPr>
        <w:spacing w:after="40"/>
      </w:pPr>
      <w:r>
        <w:rPr>
          <w:rFonts w:ascii="Inter" w:hAnsi="Inter"/>
          <w:b/>
          <w:color w:val="C9A84C"/>
          <w:sz w:val="21"/>
        </w:rPr>
        <w:t xml:space="preserve">16.  </w:t>
      </w:r>
      <w:r>
        <w:rPr>
          <w:rFonts w:ascii="Inter" w:hAnsi="Inter"/>
          <w:sz w:val="21"/>
        </w:rPr>
        <w:t>Disclaimer</w:t>
      </w:r>
    </w:p>
    <w:p>
      <w:pPr>
        <w:spacing w:after="40"/>
      </w:pPr>
      <w:r>
        <w:rPr>
          <w:rFonts w:ascii="Inter" w:hAnsi="Inter"/>
          <w:b/>
          <w:color w:val="C9A84C"/>
          <w:sz w:val="21"/>
        </w:rPr>
        <w:t xml:space="preserve">17.  </w:t>
      </w:r>
      <w:r>
        <w:rPr>
          <w:rFonts w:ascii="Inter" w:hAnsi="Inter"/>
          <w:sz w:val="21"/>
        </w:rPr>
        <w:t>Reimbursement</w:t>
      </w:r>
    </w:p>
    <w:p>
      <w:pPr>
        <w:spacing w:after="40"/>
      </w:pPr>
      <w:r>
        <w:rPr>
          <w:rFonts w:ascii="Inter" w:hAnsi="Inter"/>
          <w:b/>
          <w:color w:val="C9A84C"/>
          <w:sz w:val="21"/>
        </w:rPr>
        <w:t xml:space="preserve">18.  </w:t>
      </w:r>
      <w:r>
        <w:rPr>
          <w:rFonts w:ascii="Inter" w:hAnsi="Inter"/>
          <w:sz w:val="21"/>
        </w:rPr>
        <w:t>Final CTA</w:t>
      </w:r>
    </w:p>
    <w:p>
      <w:pPr>
        <w:spacing w:before="120" w:after="200"/>
      </w:pPr>
      <w:r>
        <w:rPr>
          <w:color w:val="555555"/>
          <w:sz w:val="16"/>
        </w:rPr>
        <w:t>――――――――――――――――――――――――――――――――――――――――――――――――――</w:t>
      </w:r>
    </w:p>
    <w:p>
      <w:pPr>
        <w:spacing w:before="320" w:after="120"/>
      </w:pPr>
      <w:r>
        <w:rPr>
          <w:rFonts w:ascii="DejaVu Serif" w:hAnsi="DejaVu Serif"/>
          <w:b/>
          <w:color w:val="0F2347"/>
          <w:sz w:val="30"/>
        </w:rPr>
        <w:t>1. HERO</w:t>
      </w:r>
    </w:p>
    <w:p>
      <w:pPr>
        <w:spacing w:before="160" w:after="60"/>
      </w:pPr>
      <w:r>
        <w:rPr>
          <w:rFonts w:ascii="Inter" w:hAnsi="Inter"/>
          <w:b/>
          <w:color w:val="C9A84C"/>
          <w:sz w:val="20"/>
        </w:rPr>
        <w:t>TITLE</w:t>
      </w:r>
    </w:p>
    <w:p>
      <w:pPr>
        <w:spacing w:after="120" w:before="0"/>
      </w:pPr>
      <w:r>
        <w:rPr>
          <w:rFonts w:ascii="Inter" w:hAnsi="Inter"/>
          <w:b/>
          <w:i w:val="0"/>
          <w:color w:val="0F2347"/>
          <w:sz w:val="26"/>
        </w:rPr>
        <w:t>Decide Whether to Stay or Leave Your Job | A Live Career Growth Assessment</w:t>
      </w:r>
    </w:p>
    <w:p>
      <w:pPr>
        <w:spacing w:before="160" w:after="60"/>
      </w:pPr>
      <w:r>
        <w:rPr>
          <w:rFonts w:ascii="Inter" w:hAnsi="Inter"/>
          <w:b/>
          <w:color w:val="C9A84C"/>
          <w:sz w:val="20"/>
        </w:rPr>
        <w:t>PRIMARY SUPPORTING LINE</w:t>
      </w:r>
    </w:p>
    <w:p>
      <w:pPr>
        <w:spacing w:after="120" w:before="0"/>
      </w:pPr>
      <w:r>
        <w:rPr>
          <w:rFonts w:ascii="Inter" w:hAnsi="Inter"/>
          <w:b w:val="0"/>
          <w:i/>
          <w:color w:val="0F2347"/>
          <w:sz w:val="24"/>
        </w:rPr>
        <w:t>Read the position before you make the move.</w:t>
      </w:r>
    </w:p>
    <w:p>
      <w:pPr>
        <w:spacing w:before="160" w:after="60"/>
      </w:pPr>
      <w:r>
        <w:rPr>
          <w:rFonts w:ascii="Inter" w:hAnsi="Inter"/>
          <w:b/>
          <w:color w:val="C9A84C"/>
          <w:sz w:val="20"/>
        </w:rPr>
        <w:t>DESCRIPTION</w:t>
      </w:r>
    </w:p>
    <w:p>
      <w:pPr>
        <w:spacing w:after="120" w:before="0"/>
      </w:pPr>
      <w:r>
        <w:rPr>
          <w:rFonts w:ascii="Inter" w:hAnsi="Inter"/>
          <w:b w:val="0"/>
          <w:i w:val="0"/>
          <w:color w:val="1A1A1A"/>
          <w:sz w:val="22"/>
        </w:rPr>
        <w:t>Complete a live, evidence-backed reading of your current career position and leave with a provisional state or boundary reading, one category of move to test, and a written Next-Move Decision.</w:t>
      </w:r>
    </w:p>
    <w:p>
      <w:pPr>
        <w:spacing w:before="160" w:after="60"/>
      </w:pPr>
      <w:r>
        <w:rPr>
          <w:rFonts w:ascii="Inter" w:hAnsi="Inter"/>
          <w:b/>
          <w:color w:val="C9A84C"/>
          <w:sz w:val="20"/>
        </w:rPr>
        <w:t>VALUE STRIP</w:t>
      </w:r>
    </w:p>
    <w:p>
      <w:pPr>
        <w:spacing w:after="120" w:before="0"/>
      </w:pPr>
      <w:r>
        <w:rPr>
          <w:rFonts w:ascii="Inter" w:hAnsi="Inter"/>
          <w:b/>
          <w:i w:val="0"/>
          <w:color w:val="1A1A1A"/>
          <w:sz w:val="22"/>
        </w:rPr>
        <w:t>Two-hour live assessment | 30-Day Evidence Review | Limited to 12 participants | $500</w:t>
      </w:r>
    </w:p>
    <w:p>
      <w:pPr>
        <w:spacing w:before="160" w:after="60"/>
      </w:pPr>
      <w:r>
        <w:rPr>
          <w:rFonts w:ascii="Inter" w:hAnsi="Inter"/>
          <w:b/>
          <w:color w:val="C9A84C"/>
          <w:sz w:val="20"/>
        </w:rPr>
        <w:t>CTA</w:t>
      </w:r>
    </w:p>
    <w:p>
      <w:pPr>
        <w:spacing w:after="120" w:before="0"/>
      </w:pPr>
      <w:r>
        <w:rPr>
          <w:rFonts w:ascii="Inter" w:hAnsi="Inter"/>
          <w:b/>
          <w:i w:val="0"/>
          <w:color w:val="C1440E"/>
          <w:sz w:val="22"/>
        </w:rPr>
        <w:t>Enroll in the Live Assessment</w:t>
      </w:r>
    </w:p>
    <w:p>
      <w:pPr>
        <w:spacing w:before="120" w:after="200"/>
      </w:pPr>
      <w:r>
        <w:rPr>
          <w:color w:val="555555"/>
          <w:sz w:val="16"/>
        </w:rPr>
        <w:t>――――――――――――――――――――――――――――――――――――――――――――――――――</w:t>
      </w:r>
    </w:p>
    <w:p>
      <w:pPr>
        <w:spacing w:before="320" w:after="120"/>
      </w:pPr>
      <w:r>
        <w:rPr>
          <w:rFonts w:ascii="DejaVu Serif" w:hAnsi="DejaVu Serif"/>
          <w:b/>
          <w:color w:val="0F2347"/>
          <w:sz w:val="30"/>
        </w:rPr>
        <w:t>2. URGENT PROBLEM RECOGNITION</w:t>
      </w:r>
    </w:p>
    <w:p>
      <w:pPr>
        <w:spacing w:after="120" w:before="0"/>
      </w:pPr>
      <w:r>
        <w:rPr>
          <w:rFonts w:ascii="Inter" w:hAnsi="Inter"/>
          <w:b w:val="0"/>
          <w:i w:val="0"/>
          <w:color w:val="1A1A1A"/>
          <w:sz w:val="22"/>
        </w:rPr>
        <w:t>Strong performance reviews. Growing responsibility. A title that keeps expanding. And still — a quiet, specific uncertainty about whether the role is still building anything, or just asking more of what you already know how to do. That uncertainty is not indecision. It is a signal worth reading properly, with evidence, before it hardens into a decision made on instinct alone.</w:t>
      </w:r>
    </w:p>
    <w:p>
      <w:pPr>
        <w:spacing w:before="120" w:after="200"/>
      </w:pPr>
      <w:r>
        <w:rPr>
          <w:color w:val="555555"/>
          <w:sz w:val="16"/>
        </w:rPr>
        <w:t>――――――――――――――――――――――――――――――――――――――――――――――――――</w:t>
      </w:r>
    </w:p>
    <w:p>
      <w:pPr>
        <w:spacing w:before="320" w:after="120"/>
      </w:pPr>
      <w:r>
        <w:rPr>
          <w:rFonts w:ascii="DejaVu Serif" w:hAnsi="DejaVu Serif"/>
          <w:b/>
          <w:color w:val="0F2347"/>
          <w:sz w:val="30"/>
        </w:rPr>
        <w:t>3. WHAT THIS ASSESSMENT HELPS YOU DECIDE</w:t>
      </w:r>
    </w:p>
    <w:p>
      <w:pPr>
        <w:pStyle w:val="ListBullet"/>
        <w:spacing w:after="60"/>
      </w:pPr>
      <w:r>
        <w:rPr>
          <w:rFonts w:ascii="Inter" w:hAnsi="Inter"/>
          <w:color w:val="1A1A1A"/>
          <w:sz w:val="22"/>
        </w:rPr>
        <w:t>Whether your current role is still forming capability, or only compensating you for capability already formed.</w:t>
      </w:r>
    </w:p>
    <w:p>
      <w:pPr>
        <w:pStyle w:val="ListBullet"/>
        <w:spacing w:after="60"/>
      </w:pPr>
      <w:r>
        <w:rPr>
          <w:rFonts w:ascii="Inter" w:hAnsi="Inter"/>
          <w:color w:val="1A1A1A"/>
          <w:sz w:val="22"/>
        </w:rPr>
        <w:t>Whether what you have built is portable outside your current context, or dependent on it.</w:t>
      </w:r>
    </w:p>
    <w:p>
      <w:pPr>
        <w:pStyle w:val="ListBullet"/>
        <w:spacing w:after="60"/>
      </w:pPr>
      <w:r>
        <w:rPr>
          <w:rFonts w:ascii="Inter" w:hAnsi="Inter"/>
          <w:color w:val="1A1A1A"/>
          <w:sz w:val="22"/>
        </w:rPr>
        <w:t>Which category of move — remain, renegotiate, move internally, rebuild external options, or prepare to leave — your evidence actually supports testing.</w:t>
      </w:r>
    </w:p>
    <w:p>
      <w:pPr>
        <w:pStyle w:val="ListBullet"/>
        <w:spacing w:after="60"/>
      </w:pPr>
      <w:r>
        <w:rPr>
          <w:rFonts w:ascii="Inter" w:hAnsi="Inter"/>
          <w:color w:val="1A1A1A"/>
          <w:sz w:val="22"/>
        </w:rPr>
        <w:t>What would need to be true for your reading to change, and by when you will check.</w:t>
      </w:r>
    </w:p>
    <w:p>
      <w:pPr>
        <w:spacing w:before="120" w:after="200"/>
      </w:pPr>
      <w:r>
        <w:rPr>
          <w:color w:val="555555"/>
          <w:sz w:val="16"/>
        </w:rPr>
        <w:t>――――――――――――――――――――――――――――――――――――――――――――――――――</w:t>
      </w:r>
    </w:p>
    <w:p>
      <w:pPr>
        <w:spacing w:before="320" w:after="120"/>
      </w:pPr>
      <w:r>
        <w:rPr>
          <w:rFonts w:ascii="DejaVu Serif" w:hAnsi="DejaVu Serif"/>
          <w:b/>
          <w:color w:val="0F2347"/>
          <w:sz w:val="30"/>
        </w:rPr>
        <w:t>4. WHAT YOU WILL LEAVE WITH</w:t>
      </w:r>
    </w:p>
    <w:p>
      <w:pPr>
        <w:pStyle w:val="ListBullet"/>
        <w:spacing w:after="60"/>
      </w:pPr>
      <w:r>
        <w:rPr>
          <w:rFonts w:ascii="Inter" w:hAnsi="Inter"/>
          <w:color w:val="1A1A1A"/>
          <w:sz w:val="22"/>
        </w:rPr>
        <w:t>An initial and evidence-backed reading of your current position.</w:t>
      </w:r>
    </w:p>
    <w:p>
      <w:pPr>
        <w:pStyle w:val="ListBullet"/>
        <w:spacing w:after="60"/>
      </w:pPr>
      <w:r>
        <w:rPr>
          <w:rFonts w:ascii="Inter" w:hAnsi="Inter"/>
          <w:color w:val="1A1A1A"/>
          <w:sz w:val="22"/>
        </w:rPr>
        <w:t>A provisional state or boundary reading.</w:t>
      </w:r>
    </w:p>
    <w:p>
      <w:pPr>
        <w:pStyle w:val="ListBullet"/>
        <w:spacing w:after="60"/>
      </w:pPr>
      <w:r>
        <w:rPr>
          <w:rFonts w:ascii="Inter" w:hAnsi="Inter"/>
          <w:color w:val="1A1A1A"/>
          <w:sz w:val="22"/>
        </w:rPr>
        <w:t>One category of move to test.</w:t>
      </w:r>
    </w:p>
    <w:p>
      <w:pPr>
        <w:pStyle w:val="ListBullet"/>
        <w:spacing w:after="60"/>
      </w:pPr>
      <w:r>
        <w:rPr>
          <w:rFonts w:ascii="Inter" w:hAnsi="Inter"/>
          <w:color w:val="1A1A1A"/>
          <w:sz w:val="22"/>
        </w:rPr>
        <w:t>A completed, written Next-Move Decision.</w:t>
      </w:r>
    </w:p>
    <w:p>
      <w:pPr>
        <w:pStyle w:val="ListBullet"/>
        <w:spacing w:after="60"/>
      </w:pPr>
      <w:r>
        <w:rPr>
          <w:rFonts w:ascii="Inter" w:hAnsi="Inter"/>
          <w:color w:val="1A1A1A"/>
          <w:sz w:val="22"/>
        </w:rPr>
        <w:t>A 30-day evidence process, a live 30-Day Evidence Review, and a 90-day rescore date.</w:t>
      </w:r>
    </w:p>
    <w:p>
      <w:pPr>
        <w:spacing w:before="120" w:after="200"/>
      </w:pPr>
      <w:r>
        <w:rPr>
          <w:color w:val="555555"/>
          <w:sz w:val="16"/>
        </w:rPr>
        <w:t>――――――――――――――――――――――――――――――――――――――――――――――――――</w:t>
      </w:r>
    </w:p>
    <w:p>
      <w:pPr>
        <w:spacing w:before="320" w:after="120"/>
      </w:pPr>
      <w:r>
        <w:rPr>
          <w:rFonts w:ascii="DejaVu Serif" w:hAnsi="DejaVu Serif"/>
          <w:b/>
          <w:color w:val="0F2347"/>
          <w:sz w:val="30"/>
        </w:rPr>
        <w:t>5. WHY THE FIRST SELF-ASSESSMENT IS NOT ENOUGH</w:t>
      </w:r>
    </w:p>
    <w:p>
      <w:pPr>
        <w:spacing w:before="40" w:after="120"/>
      </w:pPr>
      <w:r>
        <w:rPr>
          <w:rFonts w:ascii="Inter" w:hAnsi="Inter"/>
          <w:b/>
          <w:color w:val="0F2347"/>
          <w:sz w:val="20"/>
        </w:rPr>
        <w:t>A CAREER DECISION NEEDS MORE THAN A FIRST IMPRESSION</w:t>
      </w:r>
    </w:p>
    <w:p>
      <w:pPr>
        <w:pStyle w:val="ListBullet"/>
        <w:spacing w:after="60"/>
      </w:pPr>
      <w:r>
        <w:rPr>
          <w:rFonts w:ascii="Inter" w:hAnsi="Inter"/>
          <w:color w:val="1A1A1A"/>
          <w:sz w:val="22"/>
        </w:rPr>
        <w:t>Strong performance does not reveal everything the role is forming in you.</w:t>
      </w:r>
    </w:p>
    <w:p>
      <w:pPr>
        <w:pStyle w:val="ListBullet"/>
        <w:spacing w:after="60"/>
      </w:pPr>
      <w:r>
        <w:rPr>
          <w:rFonts w:ascii="Inter" w:hAnsi="Inter"/>
          <w:color w:val="1A1A1A"/>
          <w:sz w:val="22"/>
        </w:rPr>
        <w:t>Frustration does not automatically mean the role should end.</w:t>
      </w:r>
    </w:p>
    <w:p>
      <w:pPr>
        <w:pStyle w:val="ListBullet"/>
        <w:spacing w:after="60"/>
      </w:pPr>
      <w:r>
        <w:rPr>
          <w:rFonts w:ascii="Inter" w:hAnsi="Inter"/>
          <w:color w:val="1A1A1A"/>
          <w:sz w:val="22"/>
        </w:rPr>
        <w:t>Your first self-assessment may contain unsupported assumptions you cannot see from inside it.</w:t>
      </w:r>
    </w:p>
    <w:p>
      <w:pPr>
        <w:pStyle w:val="ListBullet"/>
        <w:spacing w:after="60"/>
      </w:pPr>
      <w:r>
        <w:rPr>
          <w:rFonts w:ascii="Inter" w:hAnsi="Inter"/>
          <w:color w:val="1A1A1A"/>
          <w:sz w:val="22"/>
        </w:rPr>
        <w:t>A quiz cannot question the evidence beneath an answer — it can only record the answer.</w:t>
      </w:r>
    </w:p>
    <w:p>
      <w:pPr>
        <w:pStyle w:val="ListBullet"/>
        <w:spacing w:after="60"/>
      </w:pPr>
      <w:r>
        <w:rPr>
          <w:rFonts w:ascii="Inter" w:hAnsi="Inter"/>
          <w:color w:val="1A1A1A"/>
          <w:sz w:val="22"/>
        </w:rPr>
        <w:t>The second, evidence-backed read is more defensible, not objectively perfect.</w:t>
      </w:r>
    </w:p>
    <w:p>
      <w:pPr>
        <w:pStyle w:val="ListBullet"/>
        <w:spacing w:after="60"/>
      </w:pPr>
      <w:r>
        <w:rPr>
          <w:rFonts w:ascii="Inter" w:hAnsi="Inter"/>
          <w:color w:val="1A1A1A"/>
          <w:sz w:val="22"/>
        </w:rPr>
        <w:t>Uncertainty and boundaries are valid findings, not failures of the process.</w:t>
      </w:r>
    </w:p>
    <w:p>
      <w:pPr>
        <w:spacing w:before="120" w:after="200"/>
      </w:pPr>
      <w:r>
        <w:rPr>
          <w:color w:val="555555"/>
          <w:sz w:val="16"/>
        </w:rPr>
        <w:t>――――――――――――――――――――――――――――――――――――――――――――――――――</w:t>
      </w:r>
    </w:p>
    <w:p>
      <w:pPr>
        <w:spacing w:before="320" w:after="120"/>
      </w:pPr>
      <w:r>
        <w:rPr>
          <w:rFonts w:ascii="DejaVu Serif" w:hAnsi="DejaVu Serif"/>
          <w:b/>
          <w:color w:val="0F2347"/>
          <w:sz w:val="30"/>
        </w:rPr>
        <w:t>6. HOW THE CAPABILITY POSITION READ WORKS</w:t>
      </w:r>
    </w:p>
    <w:p>
      <w:pPr>
        <w:spacing w:after="100"/>
      </w:pPr>
      <w:r>
        <w:rPr>
          <w:rFonts w:ascii="Inter" w:hAnsi="Inter"/>
          <w:b/>
          <w:color w:val="0F2347"/>
          <w:sz w:val="22"/>
        </w:rPr>
        <w:t xml:space="preserve">First reading. </w:t>
      </w:r>
      <w:r>
        <w:rPr>
          <w:rFonts w:ascii="Inter" w:hAnsi="Inter"/>
          <w:sz w:val="22"/>
        </w:rPr>
        <w:t>Complete all 12 statements, live, before any evidence is required — this captures the interpretation you arrived with.</w:t>
      </w:r>
    </w:p>
    <w:p>
      <w:pPr>
        <w:spacing w:after="100"/>
      </w:pPr>
      <w:r>
        <w:rPr>
          <w:rFonts w:ascii="Inter" w:hAnsi="Inter"/>
          <w:b/>
          <w:color w:val="0F2347"/>
          <w:sz w:val="22"/>
        </w:rPr>
        <w:t xml:space="preserve">Evidence protocol. </w:t>
      </w:r>
      <w:r>
        <w:rPr>
          <w:rFonts w:ascii="Inter" w:hAnsi="Inter"/>
          <w:sz w:val="22"/>
        </w:rPr>
        <w:t>A symmetric evidence requirement is applied to every score, high and low, exposing which of your initial answers were supported and which were assumptions.</w:t>
      </w:r>
    </w:p>
    <w:p>
      <w:pPr>
        <w:spacing w:after="100"/>
      </w:pPr>
      <w:r>
        <w:rPr>
          <w:rFonts w:ascii="Inter" w:hAnsi="Inter"/>
          <w:b/>
          <w:color w:val="0F2347"/>
          <w:sz w:val="22"/>
        </w:rPr>
        <w:t xml:space="preserve">Second reading. </w:t>
      </w:r>
      <w:r>
        <w:rPr>
          <w:rFonts w:ascii="Inter" w:hAnsi="Inter"/>
          <w:sz w:val="22"/>
        </w:rPr>
        <w:t>Complete the same 12 statements again, now evidence-backed, and compare your corrected totals to your first.</w:t>
      </w:r>
    </w:p>
    <w:p>
      <w:pPr>
        <w:spacing w:after="100"/>
      </w:pPr>
      <w:r>
        <w:rPr>
          <w:rFonts w:ascii="Inter" w:hAnsi="Inter"/>
          <w:b/>
          <w:color w:val="0F2347"/>
          <w:sz w:val="22"/>
        </w:rPr>
        <w:t xml:space="preserve">Placement. </w:t>
      </w:r>
      <w:r>
        <w:rPr>
          <w:rFonts w:ascii="Inter" w:hAnsi="Inter"/>
          <w:sz w:val="22"/>
        </w:rPr>
        <w:t>Locate a provisional state — Compounding, Depth Trap, Stagnant, Fragile — or an honest boundary reading if the evidence does not cleanly support one state.</w:t>
      </w:r>
    </w:p>
    <w:p>
      <w:pPr>
        <w:spacing w:after="100"/>
      </w:pPr>
      <w:r>
        <w:rPr>
          <w:rFonts w:ascii="Inter" w:hAnsi="Inter"/>
          <w:b/>
          <w:color w:val="0F2347"/>
          <w:sz w:val="22"/>
        </w:rPr>
        <w:t xml:space="preserve">Decision. </w:t>
      </w:r>
      <w:r>
        <w:rPr>
          <w:rFonts w:ascii="Inter" w:hAnsi="Inter"/>
          <w:sz w:val="22"/>
        </w:rPr>
        <w:t>Choose one category of move to test and complete a written Next-Move Decision: the action, the person, the evidence condition, and the date.</w:t>
      </w:r>
    </w:p>
    <w:p>
      <w:pPr>
        <w:spacing w:after="100"/>
      </w:pPr>
      <w:r>
        <w:rPr>
          <w:rFonts w:ascii="Inter" w:hAnsi="Inter"/>
          <w:b/>
          <w:color w:val="0F2347"/>
          <w:sz w:val="22"/>
        </w:rPr>
        <w:t xml:space="preserve">Follow-through. </w:t>
      </w:r>
      <w:r>
        <w:rPr>
          <w:rFonts w:ascii="Inter" w:hAnsi="Inter"/>
          <w:sz w:val="22"/>
        </w:rPr>
        <w:t>A 30-day evidence process, a live 30-Day Evidence Review with your cohort, and a 90-day rescore date carry the reading forward after the room ends.</w:t>
      </w:r>
    </w:p>
    <w:p>
      <w:pPr>
        <w:spacing w:before="120" w:after="200"/>
      </w:pPr>
      <w:r>
        <w:rPr>
          <w:color w:val="555555"/>
          <w:sz w:val="16"/>
        </w:rPr>
        <w:t>――――――――――――――――――――――――――――――――――――――――――――――――――</w:t>
      </w:r>
    </w:p>
    <w:p>
      <w:pPr>
        <w:spacing w:before="320" w:after="120"/>
      </w:pPr>
      <w:r>
        <w:rPr>
          <w:rFonts w:ascii="DejaVu Serif" w:hAnsi="DejaVu Serif"/>
          <w:b/>
          <w:color w:val="0F2347"/>
          <w:sz w:val="30"/>
        </w:rPr>
        <w:t>7. PRIVATE BY DESIGN</w:t>
      </w:r>
    </w:p>
    <w:p>
      <w:pPr>
        <w:pStyle w:val="ListBullet"/>
        <w:spacing w:after="60"/>
      </w:pPr>
      <w:r>
        <w:rPr>
          <w:rFonts w:ascii="Inter" w:hAnsi="Inter"/>
          <w:color w:val="1A1A1A"/>
          <w:sz w:val="22"/>
        </w:rPr>
        <w:t>Your scores, Career State, workbook responses, and any named conversations remain private.</w:t>
      </w:r>
    </w:p>
    <w:p>
      <w:pPr>
        <w:pStyle w:val="ListBullet"/>
        <w:spacing w:after="60"/>
      </w:pPr>
      <w:r>
        <w:rPr>
          <w:rFonts w:ascii="Inter" w:hAnsi="Inter"/>
          <w:color w:val="1A1A1A"/>
          <w:sz w:val="22"/>
        </w:rPr>
        <w:t>You are never required to share your employer, your score, or your state with the group.</w:t>
      </w:r>
    </w:p>
    <w:p>
      <w:pPr>
        <w:pStyle w:val="ListBullet"/>
        <w:spacing w:after="60"/>
      </w:pPr>
      <w:r>
        <w:rPr>
          <w:rFonts w:ascii="Inter" w:hAnsi="Inter"/>
          <w:color w:val="1A1A1A"/>
          <w:sz w:val="22"/>
        </w:rPr>
        <w:t>Only anonymous, room-level counts are collected — never individual scores or identities.</w:t>
      </w:r>
    </w:p>
    <w:p>
      <w:pPr>
        <w:pStyle w:val="ListBullet"/>
        <w:spacing w:after="60"/>
      </w:pPr>
      <w:r>
        <w:rPr>
          <w:rFonts w:ascii="Inter" w:hAnsi="Inter"/>
          <w:color w:val="1A1A1A"/>
          <w:sz w:val="22"/>
        </w:rPr>
        <w:t>Teaching segments may be recorded.</w:t>
      </w:r>
    </w:p>
    <w:p>
      <w:pPr>
        <w:pStyle w:val="ListBullet"/>
        <w:spacing w:after="60"/>
      </w:pPr>
      <w:r>
        <w:rPr>
          <w:rFonts w:ascii="Inter" w:hAnsi="Inter"/>
          <w:color w:val="1A1A1A"/>
          <w:sz w:val="22"/>
        </w:rPr>
        <w:t>Scoring, writing time, participant discussion, and voluntary reads are never recorded.</w:t>
      </w:r>
    </w:p>
    <w:p>
      <w:pPr>
        <w:spacing w:before="120" w:after="200"/>
      </w:pPr>
      <w:r>
        <w:rPr>
          <w:color w:val="555555"/>
          <w:sz w:val="16"/>
        </w:rPr>
        <w:t>――――――――――――――――――――――――――――――――――――――――――――――――――</w:t>
      </w:r>
    </w:p>
    <w:p>
      <w:pPr>
        <w:spacing w:before="320" w:after="120"/>
      </w:pPr>
      <w:r>
        <w:rPr>
          <w:rFonts w:ascii="DejaVu Serif" w:hAnsi="DejaVu Serif"/>
          <w:b/>
          <w:color w:val="0F2347"/>
          <w:sz w:val="30"/>
        </w:rPr>
        <w:t>8. WHAT IS INCLUDED</w:t>
      </w:r>
    </w:p>
    <w:p>
      <w:pPr>
        <w:pStyle w:val="ListBullet"/>
        <w:spacing w:after="60"/>
      </w:pPr>
      <w:r>
        <w:rPr>
          <w:rFonts w:ascii="Inter" w:hAnsi="Inter"/>
          <w:color w:val="1A1A1A"/>
          <w:sz w:val="22"/>
        </w:rPr>
        <w:t>Full 12-statement initial reading</w:t>
      </w:r>
    </w:p>
    <w:p>
      <w:pPr>
        <w:pStyle w:val="ListBullet"/>
        <w:spacing w:after="60"/>
      </w:pPr>
      <w:r>
        <w:rPr>
          <w:rFonts w:ascii="Inter" w:hAnsi="Inter"/>
          <w:color w:val="1A1A1A"/>
          <w:sz w:val="22"/>
        </w:rPr>
        <w:t>First Density and Optionality totals</w:t>
      </w:r>
    </w:p>
    <w:p>
      <w:pPr>
        <w:pStyle w:val="ListBullet"/>
        <w:spacing w:after="60"/>
      </w:pPr>
      <w:r>
        <w:rPr>
          <w:rFonts w:ascii="Inter" w:hAnsi="Inter"/>
          <w:color w:val="1A1A1A"/>
          <w:sz w:val="22"/>
        </w:rPr>
        <w:t>First provisional placement</w:t>
      </w:r>
    </w:p>
    <w:p>
      <w:pPr>
        <w:pStyle w:val="ListBullet"/>
        <w:spacing w:after="60"/>
      </w:pPr>
      <w:r>
        <w:rPr>
          <w:rFonts w:ascii="Inter" w:hAnsi="Inter"/>
          <w:color w:val="1A1A1A"/>
          <w:sz w:val="22"/>
        </w:rPr>
        <w:t>Symmetric evidence protocol</w:t>
      </w:r>
    </w:p>
    <w:p>
      <w:pPr>
        <w:pStyle w:val="ListBullet"/>
        <w:spacing w:after="60"/>
      </w:pPr>
      <w:r>
        <w:rPr>
          <w:rFonts w:ascii="Inter" w:hAnsi="Inter"/>
          <w:color w:val="1A1A1A"/>
          <w:sz w:val="22"/>
        </w:rPr>
        <w:t>Full evidence-backed second reading</w:t>
      </w:r>
    </w:p>
    <w:p>
      <w:pPr>
        <w:pStyle w:val="ListBullet"/>
        <w:spacing w:after="60"/>
      </w:pPr>
      <w:r>
        <w:rPr>
          <w:rFonts w:ascii="Inter" w:hAnsi="Inter"/>
          <w:color w:val="1A1A1A"/>
          <w:sz w:val="22"/>
        </w:rPr>
        <w:t>Corrected Density and Optionality totals</w:t>
      </w:r>
    </w:p>
    <w:p>
      <w:pPr>
        <w:pStyle w:val="ListBullet"/>
        <w:spacing w:after="60"/>
      </w:pPr>
      <w:r>
        <w:rPr>
          <w:rFonts w:ascii="Inter" w:hAnsi="Inter"/>
          <w:color w:val="1A1A1A"/>
          <w:sz w:val="22"/>
        </w:rPr>
        <w:t>Neighboring-score sensitivity check</w:t>
      </w:r>
    </w:p>
    <w:p>
      <w:pPr>
        <w:pStyle w:val="ListBullet"/>
        <w:spacing w:after="60"/>
      </w:pPr>
      <w:r>
        <w:rPr>
          <w:rFonts w:ascii="Inter" w:hAnsi="Inter"/>
          <w:color w:val="1A1A1A"/>
          <w:sz w:val="22"/>
        </w:rPr>
        <w:t>Provisional state or boundary reading</w:t>
      </w:r>
    </w:p>
    <w:p>
      <w:pPr>
        <w:pStyle w:val="ListBullet"/>
        <w:spacing w:after="60"/>
      </w:pPr>
      <w:r>
        <w:rPr>
          <w:rFonts w:ascii="Inter" w:hAnsi="Inter"/>
          <w:color w:val="1A1A1A"/>
          <w:sz w:val="22"/>
        </w:rPr>
        <w:t>State-cost reflection</w:t>
      </w:r>
    </w:p>
    <w:p>
      <w:pPr>
        <w:pStyle w:val="ListBullet"/>
        <w:spacing w:after="60"/>
      </w:pPr>
      <w:r>
        <w:rPr>
          <w:rFonts w:ascii="Inter" w:hAnsi="Inter"/>
          <w:color w:val="1A1A1A"/>
          <w:sz w:val="22"/>
        </w:rPr>
        <w:t>Seven move categories</w:t>
      </w:r>
    </w:p>
    <w:p>
      <w:pPr>
        <w:pStyle w:val="ListBullet"/>
        <w:spacing w:after="60"/>
      </w:pPr>
      <w:r>
        <w:rPr>
          <w:rFonts w:ascii="Inter" w:hAnsi="Inter"/>
          <w:color w:val="1A1A1A"/>
          <w:sz w:val="22"/>
        </w:rPr>
        <w:t>Completed Next-Move Decision</w:t>
      </w:r>
    </w:p>
    <w:p>
      <w:pPr>
        <w:pStyle w:val="ListBullet"/>
        <w:spacing w:after="60"/>
      </w:pPr>
      <w:r>
        <w:rPr>
          <w:rFonts w:ascii="Inter" w:hAnsi="Inter"/>
          <w:color w:val="1A1A1A"/>
          <w:sz w:val="22"/>
        </w:rPr>
        <w:t>Capability Formation Field Kit</w:t>
      </w:r>
    </w:p>
    <w:p>
      <w:pPr>
        <w:pStyle w:val="ListBullet"/>
        <w:spacing w:after="60"/>
      </w:pPr>
      <w:r>
        <w:rPr>
          <w:rFonts w:ascii="Inter" w:hAnsi="Inter"/>
          <w:color w:val="1A1A1A"/>
          <w:sz w:val="22"/>
        </w:rPr>
        <w:t>30-day evidence process</w:t>
      </w:r>
    </w:p>
    <w:p>
      <w:pPr>
        <w:pStyle w:val="ListBullet"/>
        <w:spacing w:after="60"/>
      </w:pPr>
      <w:r>
        <w:rPr>
          <w:rFonts w:ascii="Inter" w:hAnsi="Inter"/>
          <w:color w:val="1A1A1A"/>
          <w:sz w:val="22"/>
        </w:rPr>
        <w:t>Live 30-Day Evidence Review</w:t>
      </w:r>
    </w:p>
    <w:p>
      <w:pPr>
        <w:pStyle w:val="ListBullet"/>
        <w:spacing w:after="60"/>
      </w:pPr>
      <w:r>
        <w:rPr>
          <w:rFonts w:ascii="Inter" w:hAnsi="Inter"/>
          <w:color w:val="1A1A1A"/>
          <w:sz w:val="22"/>
        </w:rPr>
        <w:t>90-day rescore reminder</w:t>
      </w:r>
    </w:p>
    <w:p>
      <w:pPr>
        <w:spacing w:before="120" w:after="200"/>
      </w:pPr>
      <w:r>
        <w:rPr>
          <w:color w:val="555555"/>
          <w:sz w:val="16"/>
        </w:rPr>
        <w:t>――――――――――――――――――――――――――――――――――――――――――――――――――</w:t>
      </w:r>
    </w:p>
    <w:p>
      <w:pPr>
        <w:spacing w:before="320" w:after="120"/>
      </w:pPr>
      <w:r>
        <w:rPr>
          <w:rFonts w:ascii="DejaVu Serif" w:hAnsi="DejaVu Serif"/>
          <w:b/>
          <w:color w:val="0F2347"/>
          <w:sz w:val="30"/>
        </w:rPr>
        <w:t>9. WHO IT IS FOR</w:t>
      </w:r>
    </w:p>
    <w:p>
      <w:pPr>
        <w:pStyle w:val="ListBullet"/>
        <w:spacing w:after="60"/>
      </w:pPr>
      <w:r>
        <w:rPr>
          <w:rFonts w:ascii="Inter" w:hAnsi="Inter"/>
          <w:color w:val="1A1A1A"/>
          <w:sz w:val="22"/>
        </w:rPr>
        <w:t>Mid-career and senior professionals.</w:t>
      </w:r>
    </w:p>
    <w:p>
      <w:pPr>
        <w:pStyle w:val="ListBullet"/>
        <w:spacing w:after="60"/>
      </w:pPr>
      <w:r>
        <w:rPr>
          <w:rFonts w:ascii="Inter" w:hAnsi="Inter"/>
          <w:color w:val="1A1A1A"/>
          <w:sz w:val="22"/>
        </w:rPr>
        <w:t>People performing well but unsure whether the role is still building them.</w:t>
      </w:r>
    </w:p>
    <w:p>
      <w:pPr>
        <w:pStyle w:val="ListBullet"/>
        <w:spacing w:after="60"/>
      </w:pPr>
      <w:r>
        <w:rPr>
          <w:rFonts w:ascii="Inter" w:hAnsi="Inter"/>
          <w:color w:val="1A1A1A"/>
          <w:sz w:val="22"/>
        </w:rPr>
        <w:t>Professionals deciding whether to stay, renegotiate, move internally, rebuild external options, or prepare to leave.</w:t>
      </w:r>
    </w:p>
    <w:p>
      <w:pPr>
        <w:pStyle w:val="ListBullet"/>
        <w:spacing w:after="60"/>
      </w:pPr>
      <w:r>
        <w:rPr>
          <w:rFonts w:ascii="Inter" w:hAnsi="Inter"/>
          <w:color w:val="1A1A1A"/>
          <w:sz w:val="22"/>
        </w:rPr>
        <w:t>People who want evidence before making a high-cost decision.</w:t>
      </w:r>
    </w:p>
    <w:p>
      <w:pPr>
        <w:pStyle w:val="ListBullet"/>
        <w:spacing w:after="60"/>
      </w:pPr>
      <w:r>
        <w:rPr>
          <w:rFonts w:ascii="Inter" w:hAnsi="Inter"/>
          <w:color w:val="1A1A1A"/>
          <w:sz w:val="22"/>
        </w:rPr>
        <w:t>Professionals experiencing reorganization, role drift, reduced stretch, dependence, or narrowed portability.</w:t>
      </w:r>
    </w:p>
    <w:p>
      <w:pPr>
        <w:spacing w:before="120" w:after="200"/>
      </w:pPr>
      <w:r>
        <w:rPr>
          <w:color w:val="555555"/>
          <w:sz w:val="16"/>
        </w:rPr>
        <w:t>――――――――――――――――――――――――――――――――――――――――――――――――――</w:t>
      </w:r>
    </w:p>
    <w:p>
      <w:pPr>
        <w:spacing w:before="320" w:after="120"/>
      </w:pPr>
      <w:r>
        <w:rPr>
          <w:rFonts w:ascii="DejaVu Serif" w:hAnsi="DejaVu Serif"/>
          <w:b/>
          <w:color w:val="0F2347"/>
          <w:sz w:val="30"/>
        </w:rPr>
        <w:t>10. WHO IT IS NOT FOR</w:t>
      </w:r>
    </w:p>
    <w:p>
      <w:pPr>
        <w:pStyle w:val="ListBullet"/>
        <w:spacing w:after="60"/>
      </w:pPr>
      <w:r>
        <w:rPr>
          <w:rFonts w:ascii="Inter" w:hAnsi="Inter"/>
          <w:color w:val="1A1A1A"/>
          <w:sz w:val="22"/>
        </w:rPr>
        <w:t>Résumé or LinkedIn revision.</w:t>
      </w:r>
    </w:p>
    <w:p>
      <w:pPr>
        <w:pStyle w:val="ListBullet"/>
        <w:spacing w:after="60"/>
      </w:pPr>
      <w:r>
        <w:rPr>
          <w:rFonts w:ascii="Inter" w:hAnsi="Inter"/>
          <w:color w:val="1A1A1A"/>
          <w:sz w:val="22"/>
        </w:rPr>
        <w:t>Financial planning.</w:t>
      </w:r>
    </w:p>
    <w:p>
      <w:pPr>
        <w:pStyle w:val="ListBullet"/>
        <w:spacing w:after="60"/>
      </w:pPr>
      <w:r>
        <w:rPr>
          <w:rFonts w:ascii="Inter" w:hAnsi="Inter"/>
          <w:color w:val="1A1A1A"/>
          <w:sz w:val="22"/>
        </w:rPr>
        <w:t>Job-search tactics.</w:t>
      </w:r>
    </w:p>
    <w:p>
      <w:pPr>
        <w:pStyle w:val="ListBullet"/>
        <w:spacing w:after="60"/>
      </w:pPr>
      <w:r>
        <w:rPr>
          <w:rFonts w:ascii="Inter" w:hAnsi="Inter"/>
          <w:color w:val="1A1A1A"/>
          <w:sz w:val="22"/>
        </w:rPr>
        <w:t>Interview coaching.</w:t>
      </w:r>
    </w:p>
    <w:p>
      <w:pPr>
        <w:pStyle w:val="ListBullet"/>
        <w:spacing w:after="60"/>
      </w:pPr>
      <w:r>
        <w:rPr>
          <w:rFonts w:ascii="Inter" w:hAnsi="Inter"/>
          <w:color w:val="1A1A1A"/>
          <w:sz w:val="22"/>
        </w:rPr>
        <w:t>Salary negotiation.</w:t>
      </w:r>
    </w:p>
    <w:p>
      <w:pPr>
        <w:pStyle w:val="ListBullet"/>
        <w:spacing w:after="60"/>
      </w:pPr>
      <w:r>
        <w:rPr>
          <w:rFonts w:ascii="Inter" w:hAnsi="Inter"/>
          <w:color w:val="1A1A1A"/>
          <w:sz w:val="22"/>
        </w:rPr>
        <w:t>Personality testing.</w:t>
      </w:r>
    </w:p>
    <w:p>
      <w:pPr>
        <w:pStyle w:val="ListBullet"/>
        <w:spacing w:after="60"/>
      </w:pPr>
      <w:r>
        <w:rPr>
          <w:rFonts w:ascii="Inter" w:hAnsi="Inter"/>
          <w:color w:val="1A1A1A"/>
          <w:sz w:val="22"/>
        </w:rPr>
        <w:t>Legal, medical, immigration, tax, financial, compensation, or mental-health advice — see Disclaimer.</w:t>
      </w:r>
    </w:p>
    <w:p>
      <w:pPr>
        <w:pStyle w:val="ListBullet"/>
        <w:spacing w:after="60"/>
      </w:pPr>
      <w:r>
        <w:rPr>
          <w:rFonts w:ascii="Inter" w:hAnsi="Inter"/>
          <w:color w:val="1A1A1A"/>
          <w:sz w:val="22"/>
        </w:rPr>
        <w:t>An instant instruction to quit.</w:t>
      </w:r>
    </w:p>
    <w:p>
      <w:pPr>
        <w:spacing w:before="120" w:after="200"/>
      </w:pPr>
      <w:r>
        <w:rPr>
          <w:color w:val="555555"/>
          <w:sz w:val="16"/>
        </w:rPr>
        <w:t>――――――――――――――――――――――――――――――――――――――――――――――――――</w:t>
      </w:r>
    </w:p>
    <w:p>
      <w:pPr>
        <w:spacing w:before="320" w:after="120"/>
      </w:pPr>
      <w:r>
        <w:rPr>
          <w:rFonts w:ascii="DejaVu Serif" w:hAnsi="DejaVu Serif"/>
          <w:b/>
          <w:color w:val="0F2347"/>
          <w:sz w:val="30"/>
        </w:rPr>
        <w:t>11. FORMAT AND TIMELINE</w:t>
      </w:r>
    </w:p>
    <w:tbl>
      <w:tblPr>
        <w:tblStyle w:val="LightGrid-Accent1"/>
        <w:tblW w:type="auto" w:w="0"/>
        <w:tblLook w:firstColumn="1" w:firstRow="1" w:lastColumn="0" w:lastRow="0" w:noHBand="0" w:noVBand="1" w:val="04A0"/>
      </w:tblPr>
      <w:tblGrid>
        <w:gridCol w:w="4824"/>
        <w:gridCol w:w="4824"/>
      </w:tblGrid>
      <w:tr>
        <w:tc>
          <w:tcPr>
            <w:tcW w:type="dxa" w:w="6192"/>
          </w:tcPr>
          <w:p>
            <w:r/>
            <w:r>
              <w:rPr>
                <w:rFonts w:ascii="Inter" w:hAnsi="Inter"/>
                <w:b/>
                <w:sz w:val="19"/>
              </w:rPr>
              <w:t>Segment</w:t>
            </w:r>
          </w:p>
        </w:tc>
        <w:tc>
          <w:tcPr>
            <w:tcW w:type="dxa" w:w="2880"/>
          </w:tcPr>
          <w:p>
            <w:r/>
            <w:r>
              <w:rPr>
                <w:rFonts w:ascii="Inter" w:hAnsi="Inter"/>
                <w:b/>
                <w:sz w:val="19"/>
              </w:rPr>
              <w:t>Duration</w:t>
            </w:r>
          </w:p>
        </w:tc>
      </w:tr>
      <w:tr>
        <w:tc>
          <w:tcPr>
            <w:tcW w:type="dxa" w:w="6192"/>
          </w:tcPr>
          <w:p>
            <w:r/>
            <w:r>
              <w:rPr>
                <w:rFonts w:ascii="Inter" w:hAnsi="Inter"/>
                <w:sz w:val="19"/>
              </w:rPr>
              <w:t>Guided Capability Position Read</w:t>
            </w:r>
          </w:p>
        </w:tc>
        <w:tc>
          <w:tcPr>
            <w:tcW w:type="dxa" w:w="2880"/>
          </w:tcPr>
          <w:p>
            <w:r/>
            <w:r>
              <w:rPr>
                <w:rFonts w:ascii="Inter" w:hAnsi="Inter"/>
                <w:sz w:val="19"/>
              </w:rPr>
              <w:t>105 minutes</w:t>
            </w:r>
          </w:p>
        </w:tc>
      </w:tr>
      <w:tr>
        <w:tc>
          <w:tcPr>
            <w:tcW w:type="dxa" w:w="6192"/>
          </w:tcPr>
          <w:p>
            <w:r/>
            <w:r>
              <w:rPr>
                <w:rFonts w:ascii="Inter" w:hAnsi="Inter"/>
                <w:sz w:val="19"/>
              </w:rPr>
              <w:t>Q&amp;A and applications</w:t>
            </w:r>
          </w:p>
        </w:tc>
        <w:tc>
          <w:tcPr>
            <w:tcW w:type="dxa" w:w="2880"/>
          </w:tcPr>
          <w:p>
            <w:r/>
            <w:r>
              <w:rPr>
                <w:rFonts w:ascii="Inter" w:hAnsi="Inter"/>
                <w:sz w:val="19"/>
              </w:rPr>
              <w:t>15 minutes</w:t>
            </w:r>
          </w:p>
        </w:tc>
      </w:tr>
      <w:tr>
        <w:tc>
          <w:tcPr>
            <w:tcW w:type="dxa" w:w="6192"/>
          </w:tcPr>
          <w:p>
            <w:r/>
            <w:r>
              <w:rPr>
                <w:rFonts w:ascii="Inter" w:hAnsi="Inter"/>
                <w:sz w:val="19"/>
              </w:rPr>
              <w:t>Total live assessment</w:t>
            </w:r>
          </w:p>
        </w:tc>
        <w:tc>
          <w:tcPr>
            <w:tcW w:type="dxa" w:w="2880"/>
          </w:tcPr>
          <w:p>
            <w:r/>
            <w:r>
              <w:rPr>
                <w:rFonts w:ascii="Inter" w:hAnsi="Inter"/>
                <w:sz w:val="19"/>
              </w:rPr>
              <w:t>Two hours</w:t>
            </w:r>
          </w:p>
        </w:tc>
      </w:tr>
      <w:tr>
        <w:tc>
          <w:tcPr>
            <w:tcW w:type="dxa" w:w="6192"/>
          </w:tcPr>
          <w:p>
            <w:r/>
            <w:r>
              <w:rPr>
                <w:rFonts w:ascii="Inter" w:hAnsi="Inter"/>
                <w:sz w:val="19"/>
              </w:rPr>
              <w:t>30-Day Evidence Review (separate date, ~30 days later)</w:t>
            </w:r>
          </w:p>
        </w:tc>
        <w:tc>
          <w:tcPr>
            <w:tcW w:type="dxa" w:w="2880"/>
          </w:tcPr>
          <w:p>
            <w:r/>
            <w:r>
              <w:rPr>
                <w:rFonts w:ascii="Inter" w:hAnsi="Inter"/>
                <w:sz w:val="19"/>
              </w:rPr>
              <w:t>45 minutes</w:t>
            </w:r>
          </w:p>
        </w:tc>
      </w:tr>
    </w:tbl>
    <w:p>
      <w:pPr>
        <w:spacing w:after="120"/>
      </w:pPr>
    </w:p>
    <w:p>
      <w:pPr>
        <w:spacing w:after="80" w:before="0"/>
      </w:pPr>
      <w:r>
        <w:rPr>
          <w:rFonts w:ascii="Inter" w:hAnsi="Inter"/>
          <w:b w:val="0"/>
          <w:i/>
          <w:color w:val="C1440E"/>
          <w:sz w:val="22"/>
        </w:rPr>
        <w:t>Both the main assessment date and the 30-Day Evidence Review date must be confirmed before enrollment opens — see Launch Blocker.</w:t>
      </w:r>
    </w:p>
    <w:p>
      <w:pPr>
        <w:spacing w:before="160" w:after="60"/>
      </w:pPr>
      <w:r>
        <w:rPr>
          <w:rFonts w:ascii="Inter" w:hAnsi="Inter"/>
          <w:b/>
          <w:color w:val="C9A84C"/>
          <w:sz w:val="20"/>
        </w:rPr>
        <w:t>WHAT TO BRING</w:t>
      </w:r>
    </w:p>
    <w:p>
      <w:pPr>
        <w:pStyle w:val="ListBullet"/>
        <w:spacing w:after="60"/>
      </w:pPr>
      <w:r>
        <w:rPr>
          <w:rFonts w:ascii="Inter" w:hAnsi="Inter"/>
          <w:color w:val="1A1A1A"/>
          <w:sz w:val="22"/>
        </w:rPr>
        <w:t>Your current job description, if available</w:t>
      </w:r>
    </w:p>
    <w:p>
      <w:pPr>
        <w:pStyle w:val="ListBullet"/>
        <w:spacing w:after="60"/>
      </w:pPr>
      <w:r>
        <w:rPr>
          <w:rFonts w:ascii="Inter" w:hAnsi="Inter"/>
          <w:color w:val="1A1A1A"/>
          <w:sz w:val="22"/>
        </w:rPr>
        <w:t>Examples of work completed during the previous six to twelve months</w:t>
      </w:r>
    </w:p>
    <w:p>
      <w:pPr>
        <w:pStyle w:val="ListBullet"/>
        <w:spacing w:after="60"/>
      </w:pPr>
      <w:r>
        <w:rPr>
          <w:rFonts w:ascii="Inter" w:hAnsi="Inter"/>
          <w:color w:val="1A1A1A"/>
          <w:sz w:val="22"/>
        </w:rPr>
        <w:t>Decisions you regularly make</w:t>
      </w:r>
    </w:p>
    <w:p>
      <w:pPr>
        <w:pStyle w:val="ListBullet"/>
        <w:spacing w:after="60"/>
      </w:pPr>
      <w:r>
        <w:rPr>
          <w:rFonts w:ascii="Inter" w:hAnsi="Inter"/>
          <w:color w:val="1A1A1A"/>
          <w:sz w:val="22"/>
        </w:rPr>
        <w:t>Skills and judgment you repeatedly use</w:t>
      </w:r>
    </w:p>
    <w:p>
      <w:pPr>
        <w:pStyle w:val="ListBullet"/>
        <w:spacing w:after="60"/>
      </w:pPr>
      <w:r>
        <w:rPr>
          <w:rFonts w:ascii="Inter" w:hAnsi="Inter"/>
          <w:color w:val="1A1A1A"/>
          <w:sz w:val="22"/>
        </w:rPr>
        <w:t>Evidence of who relies on you and why</w:t>
      </w:r>
    </w:p>
    <w:p>
      <w:pPr>
        <w:pStyle w:val="ListBullet"/>
        <w:spacing w:after="60"/>
      </w:pPr>
      <w:r>
        <w:rPr>
          <w:rFonts w:ascii="Inter" w:hAnsi="Inter"/>
          <w:color w:val="1A1A1A"/>
          <w:sz w:val="22"/>
        </w:rPr>
        <w:t>Examples of opportunities you could credibly pursue outside your current role</w:t>
      </w:r>
    </w:p>
    <w:p>
      <w:pPr>
        <w:spacing w:after="120" w:before="0"/>
      </w:pPr>
      <w:r>
        <w:rPr>
          <w:rFonts w:ascii="Inter" w:hAnsi="Inter"/>
          <w:b w:val="0"/>
          <w:i/>
          <w:color w:val="1A1A1A"/>
          <w:sz w:val="22"/>
        </w:rPr>
        <w:t>Participants do not need to disclose confidential employer information.</w:t>
      </w:r>
    </w:p>
    <w:p>
      <w:pPr>
        <w:spacing w:before="120" w:after="200"/>
      </w:pPr>
      <w:r>
        <w:rPr>
          <w:color w:val="555555"/>
          <w:sz w:val="16"/>
        </w:rPr>
        <w:t>――――――――――――――――――――――――――――――――――――――――――――――――――</w:t>
      </w:r>
    </w:p>
    <w:p>
      <w:pPr>
        <w:spacing w:before="320" w:after="120"/>
      </w:pPr>
      <w:r>
        <w:rPr>
          <w:rFonts w:ascii="DejaVu Serif" w:hAnsi="DejaVu Serif"/>
          <w:b/>
          <w:color w:val="0F2347"/>
          <w:sz w:val="30"/>
        </w:rPr>
        <w:t>12. 30-DAY EVIDENCE REVIEW</w:t>
      </w:r>
    </w:p>
    <w:p>
      <w:pPr>
        <w:spacing w:after="120" w:before="0"/>
      </w:pPr>
      <w:r>
        <w:rPr>
          <w:rFonts w:ascii="Inter" w:hAnsi="Inter"/>
          <w:b w:val="0"/>
          <w:i w:val="0"/>
          <w:color w:val="1A1A1A"/>
          <w:sz w:val="22"/>
        </w:rPr>
        <w:t>A live 45-minute group session held approximately 30 days after your assessment. You will review the evidence you collected, examine whether your initial move category still holds, identify what changed in the work, the evidence, or your interpretation, and reinforce your 90-day rescore process. This is not a repeat of the full 12-statement assessment, and no private scores or workbook responses are collected during the Review.</w:t>
      </w:r>
    </w:p>
    <w:p>
      <w:pPr>
        <w:spacing w:before="120" w:after="200"/>
      </w:pPr>
      <w:r>
        <w:rPr>
          <w:color w:val="555555"/>
          <w:sz w:val="16"/>
        </w:rPr>
        <w:t>――――――――――――――――――――――――――――――――――――――――――――――――――</w:t>
      </w:r>
    </w:p>
    <w:p>
      <w:pPr>
        <w:spacing w:before="320" w:after="120"/>
      </w:pPr>
      <w:r>
        <w:rPr>
          <w:rFonts w:ascii="DejaVu Serif" w:hAnsi="DejaVu Serif"/>
          <w:b/>
          <w:color w:val="0F2347"/>
          <w:sz w:val="30"/>
        </w:rPr>
        <w:t>13. INSTRUCTOR CREDIBILITY</w:t>
      </w:r>
    </w:p>
    <w:p>
      <w:pPr>
        <w:spacing w:after="120" w:before="0"/>
      </w:pPr>
      <w:r>
        <w:rPr>
          <w:rFonts w:ascii="Inter" w:hAnsi="Inter"/>
          <w:b/>
          <w:i w:val="0"/>
          <w:color w:val="0F2347"/>
          <w:sz w:val="26"/>
        </w:rPr>
        <w:t>Temidayo Afonja</w:t>
      </w:r>
    </w:p>
    <w:p>
      <w:pPr>
        <w:pStyle w:val="ListBullet"/>
        <w:spacing w:after="60"/>
      </w:pPr>
      <w:r>
        <w:rPr>
          <w:rFonts w:ascii="Inter" w:hAnsi="Inter"/>
          <w:color w:val="1A1A1A"/>
          <w:sz w:val="22"/>
        </w:rPr>
        <w:t>Founder, The Density Group</w:t>
      </w:r>
    </w:p>
    <w:p>
      <w:pPr>
        <w:pStyle w:val="ListBullet"/>
        <w:spacing w:after="60"/>
      </w:pPr>
      <w:r>
        <w:rPr>
          <w:rFonts w:ascii="Inter" w:hAnsi="Inter"/>
          <w:color w:val="1A1A1A"/>
          <w:sz w:val="22"/>
        </w:rPr>
        <w:t>Author, The Capability Audit</w:t>
      </w:r>
    </w:p>
    <w:p>
      <w:pPr>
        <w:pStyle w:val="ListBullet"/>
        <w:spacing w:after="60"/>
      </w:pPr>
      <w:r>
        <w:rPr>
          <w:rFonts w:ascii="Inter" w:hAnsi="Inter"/>
          <w:color w:val="1A1A1A"/>
          <w:sz w:val="22"/>
        </w:rPr>
        <w:t>Creator, Capability Formation and the Four States framework</w:t>
      </w:r>
    </w:p>
    <w:p>
      <w:pPr>
        <w:pStyle w:val="ListBullet"/>
        <w:spacing w:after="60"/>
      </w:pPr>
      <w:r>
        <w:rPr>
          <w:rFonts w:ascii="Inter" w:hAnsi="Inter"/>
          <w:color w:val="1A1A1A"/>
          <w:sz w:val="22"/>
        </w:rPr>
        <w:t>Nearly two decades in enterprise people strategy, organizational capability, and institutional decision environments</w:t>
      </w:r>
    </w:p>
    <w:p>
      <w:pPr>
        <w:pStyle w:val="ListBullet"/>
        <w:spacing w:after="60"/>
      </w:pPr>
      <w:r>
        <w:rPr>
          <w:rFonts w:ascii="Inter" w:hAnsi="Inter"/>
          <w:color w:val="1A1A1A"/>
          <w:sz w:val="22"/>
        </w:rPr>
        <w:t>Former Big Four and enterprise people leader</w:t>
      </w:r>
    </w:p>
    <w:p>
      <w:pPr>
        <w:spacing w:before="120" w:after="200"/>
      </w:pPr>
      <w:r>
        <w:rPr>
          <w:color w:val="555555"/>
          <w:sz w:val="16"/>
        </w:rPr>
        <w:t>――――――――――――――――――――――――――――――――――――――――――――――――――</w:t>
      </w:r>
    </w:p>
    <w:p>
      <w:pPr>
        <w:spacing w:before="320" w:after="120"/>
      </w:pPr>
      <w:r>
        <w:rPr>
          <w:rFonts w:ascii="DejaVu Serif" w:hAnsi="DejaVu Serif"/>
          <w:b/>
          <w:color w:val="0F2347"/>
          <w:sz w:val="30"/>
        </w:rPr>
        <w:t>14. PRICE AND ENROLLMENT</w:t>
      </w:r>
    </w:p>
    <w:p>
      <w:pPr>
        <w:spacing w:after="40" w:before="0"/>
      </w:pPr>
      <w:r>
        <w:rPr>
          <w:rFonts w:ascii="Inter" w:hAnsi="Inter"/>
          <w:b/>
          <w:i w:val="0"/>
          <w:color w:val="0F2347"/>
          <w:sz w:val="36"/>
        </w:rPr>
        <w:t>$500</w:t>
      </w:r>
    </w:p>
    <w:p>
      <w:pPr>
        <w:spacing w:after="40" w:before="0"/>
      </w:pPr>
      <w:r>
        <w:rPr>
          <w:rFonts w:ascii="Inter" w:hAnsi="Inter"/>
          <w:b w:val="0"/>
          <w:i w:val="0"/>
          <w:color w:val="1A1A1A"/>
          <w:sz w:val="22"/>
        </w:rPr>
        <w:t>Enrollment: $500.</w:t>
      </w:r>
    </w:p>
    <w:p>
      <w:pPr>
        <w:spacing w:after="120" w:before="0"/>
      </w:pPr>
      <w:r>
        <w:rPr>
          <w:rFonts w:ascii="Inter" w:hAnsi="Inter"/>
          <w:b w:val="0"/>
          <w:i w:val="0"/>
          <w:color w:val="1A1A1A"/>
          <w:sz w:val="22"/>
        </w:rPr>
        <w:t>Limited to 12 participants.</w:t>
      </w:r>
    </w:p>
    <w:p>
      <w:pPr>
        <w:spacing w:after="160" w:before="0"/>
      </w:pPr>
      <w:r>
        <w:rPr>
          <w:rFonts w:ascii="Inter" w:hAnsi="Inter"/>
          <w:b/>
          <w:i w:val="0"/>
          <w:color w:val="C1440E"/>
          <w:sz w:val="22"/>
        </w:rPr>
        <w:t>Do not use discount language of any kind — not a founding discount, early-bird price, subscriber price, beta price, coupon price, temporary reduction, or struck-through comparison price. Do not use the phrase "launch price" anywhere in this section.</w:t>
      </w:r>
    </w:p>
    <w:p>
      <w:pPr>
        <w:spacing w:before="160" w:after="60"/>
      </w:pPr>
      <w:r>
        <w:rPr>
          <w:rFonts w:ascii="Inter" w:hAnsi="Inter"/>
          <w:b/>
          <w:color w:val="C9A84C"/>
          <w:sz w:val="20"/>
        </w:rPr>
        <w:t>SUBSTACK</w:t>
      </w:r>
    </w:p>
    <w:p>
      <w:pPr>
        <w:spacing w:after="120" w:before="0"/>
      </w:pPr>
      <w:r>
        <w:rPr>
          <w:rFonts w:ascii="Inter" w:hAnsi="Inter"/>
          <w:b w:val="0"/>
          <w:i w:val="0"/>
          <w:color w:val="1A1A1A"/>
          <w:sz w:val="22"/>
        </w:rPr>
        <w:t>Do not create a lower subscriber price. Give Substack subscribers 48-hour early access and first opportunity to claim a seat.</w:t>
      </w:r>
    </w:p>
    <w:p>
      <w:pPr>
        <w:spacing w:before="120" w:after="200"/>
      </w:pPr>
      <w:r>
        <w:rPr>
          <w:color w:val="555555"/>
          <w:sz w:val="16"/>
        </w:rPr>
        <w:t>――――――――――――――――――――――――――――――――――――――――――――――――――</w:t>
      </w:r>
    </w:p>
    <w:p>
      <w:pPr>
        <w:spacing w:before="320" w:after="120"/>
      </w:pPr>
      <w:r>
        <w:rPr>
          <w:rFonts w:ascii="DejaVu Serif" w:hAnsi="DejaVu Serif"/>
          <w:b/>
          <w:color w:val="0F2347"/>
          <w:sz w:val="30"/>
        </w:rPr>
        <w:t>15. FAQ</w:t>
      </w:r>
    </w:p>
    <w:p>
      <w:pPr>
        <w:spacing w:after="40"/>
      </w:pPr>
      <w:r>
        <w:rPr>
          <w:rFonts w:ascii="Inter" w:hAnsi="Inter"/>
          <w:b/>
          <w:color w:val="0F2347"/>
          <w:sz w:val="23"/>
        </w:rPr>
        <w:t>Is this only for people ready to leave?</w:t>
      </w:r>
    </w:p>
    <w:p>
      <w:pPr>
        <w:spacing w:after="160" w:before="0"/>
      </w:pPr>
      <w:r>
        <w:rPr>
          <w:rFonts w:ascii="Inter" w:hAnsi="Inter"/>
          <w:b w:val="0"/>
          <w:i w:val="0"/>
          <w:color w:val="1A1A1A"/>
          <w:sz w:val="21"/>
        </w:rPr>
        <w:t>No. Most participants arrive undecided. This reads your current position — it does not assume an outcome. It is equally useful if the evidence points toward staying, renegotiating, or moving internally as it is if it points toward leaving.</w:t>
      </w:r>
    </w:p>
    <w:p>
      <w:pPr>
        <w:spacing w:after="40"/>
      </w:pPr>
      <w:r>
        <w:rPr>
          <w:rFonts w:ascii="Inter" w:hAnsi="Inter"/>
          <w:b/>
          <w:color w:val="0F2347"/>
          <w:sz w:val="23"/>
        </w:rPr>
        <w:t>Will Temidayo tell me whether to leave?</w:t>
      </w:r>
    </w:p>
    <w:p>
      <w:pPr>
        <w:spacing w:after="160" w:before="0"/>
      </w:pPr>
      <w:r>
        <w:rPr>
          <w:rFonts w:ascii="Inter" w:hAnsi="Inter"/>
          <w:b w:val="0"/>
          <w:i w:val="0"/>
          <w:color w:val="1A1A1A"/>
          <w:sz w:val="21"/>
        </w:rPr>
        <w:t>No. You will leave with a provisional state or boundary reading and one category of move to test — a more defensible starting point for your own decision, not an instruction to stay or leave.</w:t>
      </w:r>
    </w:p>
    <w:p>
      <w:pPr>
        <w:spacing w:after="40"/>
      </w:pPr>
      <w:r>
        <w:rPr>
          <w:rFonts w:ascii="Inter" w:hAnsi="Inter"/>
          <w:b/>
          <w:color w:val="0F2347"/>
          <w:sz w:val="23"/>
        </w:rPr>
        <w:t>What if my evidence does not point clearly to one state?</w:t>
      </w:r>
    </w:p>
    <w:p>
      <w:pPr>
        <w:spacing w:after="160" w:before="0"/>
      </w:pPr>
      <w:r>
        <w:rPr>
          <w:rFonts w:ascii="Inter" w:hAnsi="Inter"/>
          <w:b w:val="0"/>
          <w:i w:val="0"/>
          <w:color w:val="1A1A1A"/>
          <w:sz w:val="21"/>
        </w:rPr>
        <w:t>An honest boundary reading is a valid outcome. The neighboring-score sensitivity check exists specifically to handle this rather than force a false certainty.</w:t>
      </w:r>
    </w:p>
    <w:p>
      <w:pPr>
        <w:spacing w:after="40"/>
      </w:pPr>
      <w:r>
        <w:rPr>
          <w:rFonts w:ascii="Inter" w:hAnsi="Inter"/>
          <w:b/>
          <w:color w:val="0F2347"/>
          <w:sz w:val="23"/>
        </w:rPr>
        <w:t>What if I cannot attend the 30-Day Evidence Review?</w:t>
      </w:r>
    </w:p>
    <w:p>
      <w:pPr>
        <w:spacing w:after="160" w:before="0"/>
      </w:pPr>
      <w:r>
        <w:rPr>
          <w:rFonts w:ascii="Inter" w:hAnsi="Inter"/>
          <w:b w:val="0"/>
          <w:i w:val="0"/>
          <w:color w:val="1A1A1A"/>
          <w:sz w:val="21"/>
        </w:rPr>
        <w:t>Your Review date and time are confirmed before enrollment opens, so you can plan around it. [OPERATIONAL VERIFICATION NEEDED: the make-up, recording, or reschedule policy for a missed Review has not yet been confirmed — do not publish a specific promise here until it is.]</w:t>
      </w:r>
    </w:p>
    <w:p>
      <w:pPr>
        <w:spacing w:before="120" w:after="200"/>
      </w:pPr>
      <w:r>
        <w:rPr>
          <w:color w:val="555555"/>
          <w:sz w:val="16"/>
        </w:rPr>
        <w:t>――――――――――――――――――――――――――――――――――――――――――――――――――</w:t>
      </w:r>
    </w:p>
    <w:p>
      <w:pPr>
        <w:spacing w:before="320" w:after="120"/>
      </w:pPr>
      <w:r>
        <w:rPr>
          <w:rFonts w:ascii="DejaVu Serif" w:hAnsi="DejaVu Serif"/>
          <w:b/>
          <w:color w:val="0F2347"/>
          <w:sz w:val="30"/>
        </w:rPr>
        <w:t>16. DISCLAIMER</w:t>
      </w:r>
    </w:p>
    <w:p>
      <w:pPr>
        <w:spacing w:after="120" w:before="0"/>
      </w:pPr>
      <w:r>
        <w:rPr>
          <w:rFonts w:ascii="Inter" w:hAnsi="Inter"/>
          <w:b w:val="0"/>
          <w:i w:val="0"/>
          <w:color w:val="1A1A1A"/>
          <w:sz w:val="21"/>
        </w:rPr>
        <w:t>This assessment does not provide legal, medical, immigration, tax, financial, compensation, or mental-health advice. It is a structured, evidence-backed reading of your current career position, led live — not therapy, coaching, or professional counseling in any of the areas above. Participants who need advice in these areas should consult a qualified professional.</w:t>
      </w:r>
    </w:p>
    <w:p>
      <w:pPr>
        <w:spacing w:before="120" w:after="200"/>
      </w:pPr>
      <w:r>
        <w:rPr>
          <w:color w:val="555555"/>
          <w:sz w:val="16"/>
        </w:rPr>
        <w:t>――――――――――――――――――――――――――――――――――――――――――――――――――</w:t>
      </w:r>
    </w:p>
    <w:p>
      <w:pPr>
        <w:spacing w:before="320" w:after="120"/>
      </w:pPr>
      <w:r>
        <w:rPr>
          <w:rFonts w:ascii="DejaVu Serif" w:hAnsi="DejaVu Serif"/>
          <w:b/>
          <w:color w:val="0F2347"/>
          <w:sz w:val="30"/>
        </w:rPr>
        <w:t>17. REIMBURSEMENT</w:t>
      </w:r>
    </w:p>
    <w:p>
      <w:pPr>
        <w:spacing w:after="120" w:before="0"/>
      </w:pPr>
      <w:r>
        <w:rPr>
          <w:rFonts w:ascii="Inter" w:hAnsi="Inter"/>
          <w:b/>
          <w:i w:val="0"/>
          <w:color w:val="C1440E"/>
          <w:sz w:val="22"/>
        </w:rPr>
        <w:t>Employer reimbursement: reimbursement documentation is available on request. [OPERATIONAL VERIFICATION NEEDED: do not promise an itemized receipt on the live page until the reimbursement documentation process has been confirmed.]</w:t>
      </w:r>
    </w:p>
    <w:p>
      <w:pPr>
        <w:spacing w:after="120" w:before="0"/>
      </w:pPr>
      <w:r>
        <w:rPr>
          <w:rFonts w:ascii="Inter" w:hAnsi="Inter"/>
          <w:b w:val="0"/>
          <w:i/>
          <w:color w:val="1A1A1A"/>
          <w:sz w:val="22"/>
        </w:rPr>
        <w:t>Maven displays its own platform-level guarantee on this listing. No additional guarantee language is authored on this page.</w:t>
      </w:r>
    </w:p>
    <w:p>
      <w:pPr>
        <w:spacing w:before="120" w:after="200"/>
      </w:pPr>
      <w:r>
        <w:rPr>
          <w:color w:val="555555"/>
          <w:sz w:val="16"/>
        </w:rPr>
        <w:t>――――――――――――――――――――――――――――――――――――――――――――――――――</w:t>
      </w:r>
    </w:p>
    <w:p>
      <w:pPr>
        <w:spacing w:before="320" w:after="120"/>
      </w:pPr>
      <w:r>
        <w:rPr>
          <w:rFonts w:ascii="DejaVu Serif" w:hAnsi="DejaVu Serif"/>
          <w:b/>
          <w:color w:val="0F2347"/>
          <w:sz w:val="30"/>
        </w:rPr>
        <w:t>18. FINAL CTA</w:t>
      </w:r>
    </w:p>
    <w:p>
      <w:pPr>
        <w:spacing w:after="80" w:before="0"/>
      </w:pPr>
      <w:r>
        <w:rPr>
          <w:rFonts w:ascii="Inter" w:hAnsi="Inter"/>
          <w:b w:val="0"/>
          <w:i/>
          <w:color w:val="0F2347"/>
          <w:sz w:val="26"/>
        </w:rPr>
        <w:t>Read the position before you make the move.</w:t>
      </w:r>
    </w:p>
    <w:p>
      <w:pPr>
        <w:spacing w:after="120" w:before="0"/>
      </w:pPr>
      <w:r>
        <w:rPr>
          <w:rFonts w:ascii="Inter" w:hAnsi="Inter"/>
          <w:b/>
          <w:i w:val="0"/>
          <w:color w:val="C1440E"/>
          <w:sz w:val="22"/>
        </w:rPr>
        <w:t>Enroll in the Live Assessment — $500. Limited to 12 participants.</w:t>
      </w:r>
    </w:p>
    <w:p>
      <w:pPr>
        <w:spacing w:before="120" w:after="200"/>
      </w:pPr>
      <w:r>
        <w:rPr>
          <w:color w:val="555555"/>
          <w:sz w:val="16"/>
        </w:rPr>
        <w:t>――――――――――――――――――――――――――――――――――――――――――――――――――</w:t>
      </w:r>
    </w:p>
    <w:p>
      <w:pPr>
        <w:spacing w:before="320" w:after="120"/>
      </w:pPr>
      <w:r>
        <w:rPr>
          <w:rFonts w:ascii="DejaVu Serif" w:hAnsi="DejaVu Serif"/>
          <w:b/>
          <w:color w:val="0F2347"/>
          <w:sz w:val="30"/>
        </w:rPr>
        <w:t>WHY THE TWO-PASS METHOD CANNOT BE REPLACED BY A QUIZ</w:t>
      </w:r>
    </w:p>
    <w:p>
      <w:pPr>
        <w:spacing w:after="200" w:before="0"/>
      </w:pPr>
      <w:r>
        <w:rPr>
          <w:rFonts w:ascii="Inter" w:hAnsi="Inter"/>
          <w:b w:val="0"/>
          <w:i w:val="0"/>
          <w:color w:val="1A1A1A"/>
          <w:sz w:val="22"/>
        </w:rPr>
        <w:t>A quiz records an answer. It cannot question the evidence beneath the answer. Self-assessment carries a structural risk that no amount of good intent removes: the same person supplies both the evidence and the judgment, so an unsupported first impression and a well-evidenced conclusion can look identical from the inside. The Capability Position Read's second pass exists specifically to expose that gap — a symmetric evidence requirement applied to every score, in both directions, live, with a facilitator holding the standard. That structural correction is the product. It is not something a static set of questions, however well written, can reproduce.</w:t>
      </w:r>
    </w:p>
    <w:p>
      <w:pPr>
        <w:spacing w:before="120" w:after="200"/>
      </w:pPr>
      <w:r>
        <w:rPr>
          <w:color w:val="555555"/>
          <w:sz w:val="16"/>
        </w:rPr>
        <w:t>――――――――――――――――――――――――――――――――――――――――――――――――――</w:t>
      </w:r>
    </w:p>
    <w:p>
      <w:pPr>
        <w:spacing w:after="120" w:before="120"/>
      </w:pPr>
      <w:r>
        <w:rPr>
          <w:rFonts w:ascii="Inter" w:hAnsi="Inter"/>
          <w:b/>
          <w:i w:val="0"/>
          <w:color w:val="555555"/>
          <w:sz w:val="16"/>
        </w:rPr>
        <w:t>PAID WORKSHOP — MAVEN POSITIONING, PRICING AND LANDING PAGE MASTER v3 FINAL</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