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32"/>
        </w:rPr>
        <w:t>Paid Workshop v5.2 — Change Log</w:t>
      </w:r>
    </w:p>
    <w:p>
      <w:pPr>
        <w:spacing w:after="40" w:before="0"/>
      </w:pPr>
      <w:r>
        <w:rPr>
          <w:b w:val="0"/>
          <w:i/>
          <w:color w:val="555555"/>
          <w:sz w:val="22"/>
        </w:rPr>
        <w:t>Decide Whether to Stay or Leave Your Job | A Live Career Growth Assessment</w:t>
      </w:r>
    </w:p>
    <w:p>
      <w:pPr>
        <w:spacing w:after="200" w:before="0"/>
      </w:pPr>
      <w:r>
        <w:rPr>
          <w:b w:val="0"/>
          <w:i/>
          <w:color w:val="555555"/>
          <w:sz w:val="22"/>
        </w:rPr>
        <w:t>v5.1 FINAL (editable source, never overwritten) -&gt; v5.2 FINAL</w:t>
      </w:r>
    </w:p>
    <w:p>
      <w:pPr>
        <w:spacing w:after="200" w:before="0"/>
      </w:pPr>
      <w:r>
        <w:rPr>
          <w:b/>
          <w:i w:val="0"/>
          <w:color w:val="B00000"/>
          <w:sz w:val="22"/>
        </w:rPr>
        <w:t>v5.1 FINAL is used as the editable source. v5.2 FINAL is a new file. No workbook, Field Kit, facilitator protocol, producer material, welcome email, crosswalk, animation guide, or approved Lightning Lesson file was opened for editing. The assessment itself was not rebuilt: no Capability Formation Instrument Version 1.1 statement, score, threshold, boundary, evidence rule, uncertainty procedure, placement rule, move category, privacy rule, or protected timing block was touched.</w:t>
      </w:r>
    </w:p>
    <w:p>
      <w:pPr>
        <w:spacing w:before="80" w:after="80"/>
      </w:pPr>
      <w:r>
        <w:rPr>
          <w:color w:val="555555"/>
          <w:sz w:val="16"/>
        </w:rPr>
        <w:t>――――――――――――――――――――――――――――――――――――――――</w:t>
      </w:r>
    </w:p>
    <w:p>
      <w:pPr>
        <w:spacing w:before="240" w:after="80"/>
      </w:pPr>
      <w:r>
        <w:rPr>
          <w:b/>
          <w:sz w:val="25"/>
        </w:rPr>
        <w:t>1. OPENING POLL — REMOVED FROM THE TIMED LIVE SEQUENCE</w:t>
      </w:r>
    </w:p>
    <w:p>
      <w:pPr>
        <w:pStyle w:val="ListBullet"/>
        <w:spacing w:after="60"/>
      </w:pPr>
      <w:r>
        <w:rPr>
          <w:b/>
          <w:sz w:val="22"/>
        </w:rPr>
        <w:t xml:space="preserve">What changed. </w:t>
      </w:r>
      <w:r>
        <w:rPr>
          <w:sz w:val="22"/>
        </w:rPr>
        <w:t>The Opening Poll slide is hidden (show="0") and no longer counts toward the 0-8 live opening. The deck now advances from Title directly into WELCOME. The slide's content and position in the file are otherwise untouched — no part was deleted, so no repeat of the v5.0 orphaned-part defect is possible here.</w:t>
      </w:r>
    </w:p>
    <w:p>
      <w:pPr>
        <w:pStyle w:val="ListBullet"/>
        <w:spacing w:after="60"/>
      </w:pPr>
      <w:r>
        <w:rPr>
          <w:b/>
          <w:sz w:val="22"/>
        </w:rPr>
        <w:t xml:space="preserve">Why. </w:t>
      </w:r>
      <w:r>
        <w:rPr>
          <w:sz w:val="22"/>
        </w:rPr>
        <w:t>The same poll is already used in the free Lightning Lesson, and its prior slide position conflicted with the timing notes. Retained as an optional hidden pre-session facilitator slide or producer prompt — its speaker notes were rewritten to state this explicitly.</w:t>
      </w:r>
    </w:p>
    <w:p>
      <w:pPr>
        <w:spacing w:before="80" w:after="80"/>
      </w:pPr>
      <w:r>
        <w:rPr>
          <w:color w:val="555555"/>
          <w:sz w:val="16"/>
        </w:rPr>
        <w:t>――――――――――――――――――――――――――――――――――――――――</w:t>
      </w:r>
    </w:p>
    <w:p>
      <w:pPr>
        <w:spacing w:before="240" w:after="80"/>
      </w:pPr>
      <w:r>
        <w:rPr>
          <w:b/>
          <w:sz w:val="25"/>
        </w:rPr>
        <w:t>2. NEW WELCOME SLIDE (replaces "Where This Comes From" slide face)</w:t>
      </w:r>
    </w:p>
    <w:p>
      <w:pPr>
        <w:pStyle w:val="ListBullet"/>
        <w:spacing w:after="60"/>
      </w:pPr>
      <w:r>
        <w:rPr>
          <w:b/>
          <w:sz w:val="22"/>
        </w:rPr>
        <w:t xml:space="preserve">What changed. </w:t>
      </w:r>
      <w:r>
        <w:rPr>
          <w:sz w:val="22"/>
        </w:rPr>
        <w:t>Label WELCOME, title "Why I Built the Capability Position Read," with the approved participant-facing bio copy (name/credential line, a two-decades framing sentence, the approved quote line, and the closing sentence about what the read tests). Visual system: cream background (was navy), navy typography (was white/light-grey), gold eyebrow label, a restrained pale-sand quote panel with a rust accent bar holding the quote, and a professional headshot placed right with text left. The canonical corner mark was removed to match the deck's other interior cream slides (Boundary, Vantage, Outcome, Close), none of which carry it. No logo wall, no résumé layout, no slide added — this is the same slide, content-replaced.</w:t>
      </w:r>
    </w:p>
    <w:p>
      <w:pPr>
        <w:pStyle w:val="ListBullet"/>
        <w:spacing w:after="60"/>
      </w:pPr>
      <w:r>
        <w:rPr>
          <w:b/>
          <w:sz w:val="22"/>
        </w:rPr>
        <w:t xml:space="preserve">Speaker notes: untouched. </w:t>
      </w:r>
      <w:r>
        <w:rPr>
          <w:sz w:val="22"/>
        </w:rPr>
        <w:t>Verified byte-for-byte identical before and after this edit. The full spoken opening story (the eighteen-years narrative, the cleared wording, the guardrails, and the exact close line) is still delivered from these notes — only the slide face was simplified to the shorter participant-facing welcome copy.</w:t>
      </w:r>
    </w:p>
    <w:p>
      <w:pPr>
        <w:pStyle w:val="ListBullet"/>
        <w:spacing w:after="60"/>
      </w:pPr>
      <w:r>
        <w:rPr>
          <w:b/>
          <w:sz w:val="22"/>
        </w:rPr>
        <w:t xml:space="preserve">Reorder. </w:t>
      </w:r>
      <w:r>
        <w:rPr>
          <w:sz w:val="22"/>
        </w:rPr>
        <w:t>This slide now sits at physical position 3 (was 4); Boundary now sits at position 4 (was 3). Achieved by reordering &lt;p:sldId&gt; references in presentation.xml — no slide part was added, removed, or renamed. Footer page numbers on both slides were corrected to match their new positions (WELCOME now shows "3"; Boundary now shows "4").</w:t>
      </w:r>
    </w:p>
    <w:p>
      <w:pPr>
        <w:spacing w:before="80" w:after="80"/>
      </w:pPr>
      <w:r>
        <w:rPr>
          <w:color w:val="555555"/>
          <w:sz w:val="16"/>
        </w:rPr>
        <w:t>――――――――――――――――――――――――――――――――――――――――</w:t>
      </w:r>
    </w:p>
    <w:p>
      <w:pPr>
        <w:spacing w:before="240" w:after="80"/>
      </w:pPr>
      <w:r>
        <w:rPr>
          <w:b/>
          <w:sz w:val="25"/>
        </w:rPr>
        <w:t>3. OPENING TIMING RECUT (0-8)</w:t>
      </w:r>
    </w:p>
    <w:tbl>
      <w:tblPr>
        <w:tblStyle w:val="LightGrid-Accent1"/>
        <w:tblW w:type="auto" w:w="0"/>
        <w:tblLook w:firstColumn="1" w:firstRow="1" w:lastColumn="0" w:lastRow="0" w:noHBand="0" w:noVBand="1" w:val="04A0"/>
      </w:tblPr>
      <w:tblGrid>
        <w:gridCol w:w="4680"/>
        <w:gridCol w:w="4680"/>
      </w:tblGrid>
      <w:tr>
        <w:tc>
          <w:tcPr>
            <w:tcW w:type="dxa" w:w="1872"/>
          </w:tcPr>
          <w:p>
            <w:r/>
            <w:r>
              <w:rPr>
                <w:b/>
                <w:sz w:val="19"/>
              </w:rPr>
              <w:t>Band</w:t>
            </w:r>
          </w:p>
        </w:tc>
        <w:tc>
          <w:tcPr>
            <w:tcW w:type="dxa" w:w="6480"/>
          </w:tcPr>
          <w:p>
            <w:r/>
            <w:r>
              <w:rPr>
                <w:b/>
                <w:sz w:val="19"/>
              </w:rPr>
              <w:t>Slide</w:t>
            </w:r>
          </w:p>
        </w:tc>
      </w:tr>
      <w:tr>
        <w:tc>
          <w:tcPr>
            <w:tcW w:type="dxa" w:w="1872"/>
          </w:tcPr>
          <w:p>
            <w:r/>
            <w:r>
              <w:rPr>
                <w:sz w:val="19"/>
              </w:rPr>
              <w:t>0:00–0:45</w:t>
            </w:r>
          </w:p>
        </w:tc>
        <w:tc>
          <w:tcPr>
            <w:tcW w:type="dxa" w:w="6480"/>
          </w:tcPr>
          <w:p>
            <w:r/>
            <w:r>
              <w:rPr>
                <w:sz w:val="19"/>
              </w:rPr>
              <w:t>Title and welcome</w:t>
            </w:r>
          </w:p>
        </w:tc>
      </w:tr>
      <w:tr>
        <w:tc>
          <w:tcPr>
            <w:tcW w:type="dxa" w:w="1872"/>
          </w:tcPr>
          <w:p>
            <w:r/>
            <w:r>
              <w:rPr>
                <w:sz w:val="19"/>
              </w:rPr>
              <w:t>0:45–2:15</w:t>
            </w:r>
          </w:p>
        </w:tc>
        <w:tc>
          <w:tcPr>
            <w:tcW w:type="dxa" w:w="6480"/>
          </w:tcPr>
          <w:p>
            <w:r/>
            <w:r>
              <w:rPr>
                <w:sz w:val="19"/>
              </w:rPr>
              <w:t>Why I Built the Capability Position Read (WELCOME)</w:t>
            </w:r>
          </w:p>
        </w:tc>
      </w:tr>
      <w:tr>
        <w:tc>
          <w:tcPr>
            <w:tcW w:type="dxa" w:w="1872"/>
          </w:tcPr>
          <w:p>
            <w:r/>
            <w:r>
              <w:rPr>
                <w:sz w:val="19"/>
              </w:rPr>
              <w:t>2:15–3:15</w:t>
            </w:r>
          </w:p>
        </w:tc>
        <w:tc>
          <w:tcPr>
            <w:tcW w:type="dxa" w:w="6480"/>
          </w:tcPr>
          <w:p>
            <w:r/>
            <w:r>
              <w:rPr>
                <w:sz w:val="19"/>
              </w:rPr>
              <w:t>Boundary and privacy</w:t>
            </w:r>
          </w:p>
        </w:tc>
      </w:tr>
      <w:tr>
        <w:tc>
          <w:tcPr>
            <w:tcW w:type="dxa" w:w="1872"/>
          </w:tcPr>
          <w:p>
            <w:r/>
            <w:r>
              <w:rPr>
                <w:sz w:val="19"/>
              </w:rPr>
              <w:t>3:15–4:15</w:t>
            </w:r>
          </w:p>
        </w:tc>
        <w:tc>
          <w:tcPr>
            <w:tcW w:type="dxa" w:w="6480"/>
          </w:tcPr>
          <w:p>
            <w:r/>
            <w:r>
              <w:rPr>
                <w:sz w:val="19"/>
              </w:rPr>
              <w:t>Institutional vantage</w:t>
            </w:r>
          </w:p>
        </w:tc>
      </w:tr>
      <w:tr>
        <w:tc>
          <w:tcPr>
            <w:tcW w:type="dxa" w:w="1872"/>
          </w:tcPr>
          <w:p>
            <w:r/>
            <w:r>
              <w:rPr>
                <w:sz w:val="19"/>
              </w:rPr>
              <w:t>4:15–5:15</w:t>
            </w:r>
          </w:p>
        </w:tc>
        <w:tc>
          <w:tcPr>
            <w:tcW w:type="dxa" w:w="6480"/>
          </w:tcPr>
          <w:p>
            <w:r/>
            <w:r>
              <w:rPr>
                <w:sz w:val="19"/>
              </w:rPr>
              <w:t>Reframe</w:t>
            </w:r>
          </w:p>
        </w:tc>
      </w:tr>
      <w:tr>
        <w:tc>
          <w:tcPr>
            <w:tcW w:type="dxa" w:w="1872"/>
          </w:tcPr>
          <w:p>
            <w:r/>
            <w:r>
              <w:rPr>
                <w:sz w:val="19"/>
              </w:rPr>
              <w:t>5:15–6:30</w:t>
            </w:r>
          </w:p>
        </w:tc>
        <w:tc>
          <w:tcPr>
            <w:tcW w:type="dxa" w:w="6480"/>
          </w:tcPr>
          <w:p>
            <w:r/>
            <w:r>
              <w:rPr>
                <w:sz w:val="19"/>
              </w:rPr>
              <w:t>Orientation</w:t>
            </w:r>
          </w:p>
        </w:tc>
      </w:tr>
      <w:tr>
        <w:tc>
          <w:tcPr>
            <w:tcW w:type="dxa" w:w="1872"/>
          </w:tcPr>
          <w:p>
            <w:r/>
            <w:r>
              <w:rPr>
                <w:sz w:val="19"/>
              </w:rPr>
              <w:t>6:30–8:00</w:t>
            </w:r>
          </w:p>
        </w:tc>
        <w:tc>
          <w:tcPr>
            <w:tcW w:type="dxa" w:w="6480"/>
          </w:tcPr>
          <w:p>
            <w:r/>
            <w:r>
              <w:rPr>
                <w:sz w:val="19"/>
              </w:rPr>
              <w:t>What You Will Leave With (Outcome)</w:t>
            </w:r>
          </w:p>
        </w:tc>
      </w:tr>
    </w:tbl>
    <w:p>
      <w:pPr>
        <w:spacing w:after="120"/>
      </w:pPr>
    </w:p>
    <w:p>
      <w:pPr>
        <w:pStyle w:val="ListBullet"/>
        <w:spacing w:after="60"/>
      </w:pPr>
      <w:r>
        <w:rPr>
          <w:b/>
          <w:sz w:val="22"/>
        </w:rPr>
        <w:t xml:space="preserve">Mechanism. </w:t>
      </w:r>
      <w:r>
        <w:rPr>
          <w:sz w:val="22"/>
        </w:rPr>
        <w:t>Only the leading timing-band marker in each slide's speaker notes was replaced (e.g. "0 to 8. BOUNDARY." -&gt; "2:15 to 3:15. BOUNDARY."); every other word of every note is byte-for-byte unchanged. The WELCOME slide's notes were not touched at all, per Section 2.</w:t>
      </w:r>
    </w:p>
    <w:p>
      <w:pPr>
        <w:pStyle w:val="ListBullet"/>
        <w:spacing w:after="60"/>
      </w:pPr>
      <w:r>
        <w:rPr>
          <w:b/>
          <w:sz w:val="22"/>
        </w:rPr>
        <w:t xml:space="preserve">Density start. </w:t>
      </w:r>
      <w:r>
        <w:rPr>
          <w:sz w:val="22"/>
        </w:rPr>
        <w:t>Confirmed unchanged: Density (Definition One, slide 9) still begins exactly at minute 8.</w:t>
      </w:r>
    </w:p>
    <w:p>
      <w:pPr>
        <w:spacing w:before="80" w:after="80"/>
      </w:pPr>
      <w:r>
        <w:rPr>
          <w:color w:val="555555"/>
          <w:sz w:val="16"/>
        </w:rPr>
        <w:t>――――――――――――――――――――――――――――――――――――――――</w:t>
      </w:r>
    </w:p>
    <w:p>
      <w:pPr>
        <w:spacing w:before="240" w:after="80"/>
      </w:pPr>
      <w:r>
        <w:rPr>
          <w:b/>
          <w:sz w:val="25"/>
        </w:rPr>
        <w:t>4. VOLUNTARY READS — RETITLED</w:t>
      </w:r>
    </w:p>
    <w:p>
      <w:pPr>
        <w:pStyle w:val="ListBullet"/>
        <w:spacing w:after="60"/>
      </w:pPr>
      <w:r>
        <w:rPr>
          <w:sz w:val="22"/>
        </w:rPr>
        <w:t>Slide title changed from "Two or three of you, out loud" to "Up to two of you, out loud." Notes already read "Take two concise reads maximum; take one if the room is behind" — verified this already permits a single-read fallback, so no notes edit was needed or made.</w:t>
      </w:r>
    </w:p>
    <w:p>
      <w:pPr>
        <w:spacing w:before="80" w:after="80"/>
      </w:pPr>
      <w:r>
        <w:rPr>
          <w:color w:val="555555"/>
          <w:sz w:val="16"/>
        </w:rPr>
        <w:t>――――――――――――――――――――――――――――――――――――――――</w:t>
      </w:r>
    </w:p>
    <w:p>
      <w:pPr>
        <w:spacing w:before="240" w:after="80"/>
      </w:pPr>
      <w:r>
        <w:rPr>
          <w:b/>
          <w:sz w:val="25"/>
        </w:rPr>
        <w:t>5. 30-DAY EVIDENCE REVIEW — DATE/TIME PLACEHOLDER ADDED</w:t>
      </w:r>
    </w:p>
    <w:p>
      <w:pPr>
        <w:pStyle w:val="ListBullet"/>
        <w:spacing w:after="60"/>
      </w:pPr>
      <w:r>
        <w:rPr>
          <w:sz w:val="22"/>
        </w:rPr>
        <w:t>A second paragraph was added to the CLOSE slide's existing closing-line shape: "30-Day Evidence Review: [CONFIRMED DATE, TIME, TIME ZONE]." Styled bold rust to read clearly as an unfilled field, distinct from the confirmation sentence added in v5.1.</w:t>
      </w:r>
    </w:p>
    <w:p>
      <w:pPr>
        <w:spacing w:after="120" w:before="0"/>
      </w:pPr>
      <w:r>
        <w:rPr>
          <w:b/>
          <w:i w:val="0"/>
          <w:color w:val="B00000"/>
          <w:sz w:val="22"/>
        </w:rPr>
        <w:t>MUST-FILL BEFORE DELIVERY: this bracketed placeholder must be replaced with the confirmed date, time, and time zone before the deck is used with real participants. Also flagged in the QA Report.</w:t>
      </w:r>
    </w:p>
    <w:p>
      <w:pPr>
        <w:spacing w:before="80" w:after="80"/>
      </w:pPr>
      <w:r>
        <w:rPr>
          <w:color w:val="555555"/>
          <w:sz w:val="16"/>
        </w:rPr>
        <w:t>――――――――――――――――――――――――――――――――――――――――</w:t>
      </w:r>
    </w:p>
    <w:p>
      <w:pPr>
        <w:spacing w:before="240" w:after="80"/>
      </w:pPr>
      <w:r>
        <w:rPr>
          <w:b/>
          <w:sz w:val="25"/>
        </w:rPr>
        <w:t>6. VERIFIED UNCHANGED</w:t>
      </w:r>
    </w:p>
    <w:p>
      <w:pPr>
        <w:pStyle w:val="ListBullet"/>
        <w:spacing w:after="60"/>
      </w:pPr>
      <w:r>
        <w:rPr>
          <w:b/>
          <w:sz w:val="22"/>
        </w:rPr>
        <w:t xml:space="preserve">Full-deck diff. </w:t>
      </w:r>
      <w:r>
        <w:rPr>
          <w:sz w:val="22"/>
        </w:rPr>
        <w:t>Confirmed by full-deck diff against v5.1: slides 9-46 are identical except the two intentionally-edited slides (40, voluntary reads; 41, close). Slides 1-8 differ only in the specific fields documented above (timing prefixes, the WELCOME face rebuild, the two footer page numbers, and the poll's hidden flag and notes).</w:t>
      </w:r>
    </w:p>
    <w:p>
      <w:pPr>
        <w:pStyle w:val="ListBullet"/>
        <w:spacing w:after="60"/>
      </w:pPr>
      <w:r>
        <w:rPr>
          <w:b/>
          <w:sz w:val="22"/>
        </w:rPr>
        <w:t xml:space="preserve">Timing. </w:t>
      </w:r>
      <w:r>
        <w:rPr>
          <w:sz w:val="22"/>
        </w:rPr>
        <w:t>105-minute guided core, 15-minute Q&amp;A, and the protected eight-minute silent-writing block are all unchanged in length and position.</w:t>
      </w:r>
    </w:p>
    <w:p>
      <w:pPr>
        <w:pStyle w:val="ListBullet"/>
        <w:spacing w:after="60"/>
      </w:pPr>
      <w:r>
        <w:rPr>
          <w:b/>
          <w:sz w:val="22"/>
        </w:rPr>
        <w:t xml:space="preserve">Instrument mechanics. </w:t>
      </w:r>
      <w:r>
        <w:rPr>
          <w:sz w:val="22"/>
        </w:rPr>
        <w:t>All 12 statements, the response scale, thresholds, the 17-21 boundary band, scoring logic, the uncertainty (question-mark) convention, the evidence protocol, placement rules, and move categories are untouched, word for word.</w:t>
      </w:r>
    </w:p>
    <w:p>
      <w:pPr>
        <w:pStyle w:val="ListBullet"/>
        <w:spacing w:after="60"/>
      </w:pPr>
      <w:r>
        <w:rPr>
          <w:b/>
          <w:sz w:val="22"/>
        </w:rPr>
        <w:t xml:space="preserve">Privacy. </w:t>
      </w:r>
      <w:r>
        <w:rPr>
          <w:sz w:val="22"/>
        </w:rPr>
        <w:t>Both privacy boundaries (private scoring; recording boundary) and every privacy-related sentence are untouched.</w:t>
      </w:r>
    </w:p>
    <w:p>
      <w:pPr>
        <w:pStyle w:val="ListBullet"/>
        <w:spacing w:after="60"/>
      </w:pPr>
      <w:r>
        <w:rPr>
          <w:b/>
          <w:sz w:val="22"/>
        </w:rPr>
        <w:t xml:space="preserve">Price silence. </w:t>
      </w:r>
      <w:r>
        <w:rPr>
          <w:sz w:val="22"/>
        </w:rPr>
        <w:t>Re-verified programmatically: zero occurrences of "249," "349," "500," or "$" anywhere in the participant delivery deck, on any slide face or speaker note.</w:t>
      </w:r>
    </w:p>
    <w:p>
      <w:pPr>
        <w:pStyle w:val="ListBullet"/>
        <w:spacing w:after="60"/>
      </w:pPr>
      <w:r>
        <w:rPr>
          <w:b/>
          <w:sz w:val="22"/>
        </w:rPr>
        <w:t xml:space="preserve">File integrity. </w:t>
      </w:r>
      <w:r>
        <w:rPr>
          <w:sz w:val="22"/>
        </w:rPr>
        <w:t>Zip-integrity test (testzip) clean; opening, touching every slide's notes, and re-saving produces zero warnings; no duplicate part names anywhere in the archive; slide count unchanged at 46 (45 visible, 1 hidden).</w:t>
      </w:r>
    </w:p>
    <w:p>
      <w:pPr>
        <w:spacing w:before="80" w:after="80"/>
      </w:pPr>
      <w:r>
        <w:rPr>
          <w:color w:val="555555"/>
          <w:sz w:val="16"/>
        </w:rPr>
        <w:t>――――――――――――――――――――――――――――――――――――――――</w:t>
      </w:r>
    </w:p>
    <w:p>
      <w:pPr>
        <w:spacing w:before="240" w:after="80"/>
      </w:pPr>
      <w:r>
        <w:rPr>
          <w:b/>
          <w:sz w:val="25"/>
        </w:rPr>
        <w:t>7. NOT DONE IN THIS PASS</w:t>
      </w:r>
    </w:p>
    <w:p>
      <w:pPr>
        <w:spacing w:after="120" w:before="0"/>
      </w:pPr>
      <w:r>
        <w:rPr>
          <w:b w:val="0"/>
          <w:i w:val="0"/>
          <w:color w:val="000000"/>
          <w:sz w:val="21"/>
        </w:rPr>
        <w:t>Per instruction, this pass stops after the deck, its backup PDF, this Change Log, the Timing Map, the QA Report, and the Maven landing-page master v3. The workbook, Field Kit, facilitator protocol, producer run sheet, welcome email, crosswalk, animation guide, and free-lesson alignment are explicitly deferred pending approval of this pass.</w:t>
      </w:r>
    </w:p>
    <w:p>
      <w:pPr>
        <w:spacing w:before="80" w:after="80"/>
      </w:pPr>
      <w:r>
        <w:rPr>
          <w:color w:val="555555"/>
          <w:sz w:val="16"/>
        </w:rPr>
        <w:t>――――――――――――――――――――――――――――――――――――――――</w:t>
      </w:r>
    </w:p>
    <w:p>
      <w:pPr>
        <w:spacing w:after="120" w:before="120"/>
      </w:pPr>
      <w:r>
        <w:rPr>
          <w:b/>
          <w:i w:val="0"/>
          <w:color w:val="555555"/>
          <w:sz w:val="16"/>
        </w:rPr>
        <w:t>PAID WORKSHOP v5.2 — CHANGE LOG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