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DejaVu Serif" w:hAnsi="DejaVu Serif"/>
          <w:b/>
          <w:color w:val="0F2347"/>
          <w:sz w:val="54"/>
        </w:rPr>
        <w:t>MAVEN OFFER</w:t>
        <w:br/>
        <w:t>NAMING + LANDING PAGE</w:t>
        <w:br/>
        <w:t>MASTER COPY</w:t>
      </w:r>
    </w:p>
    <w:p>
      <w:pPr>
        <w:spacing w:before="280"/>
        <w:jc w:val="center"/>
      </w:pPr>
      <w:r>
        <w:rPr>
          <w:rFonts w:ascii="Inter" w:hAnsi="Inter"/>
          <w:color w:val="6A7280"/>
          <w:sz w:val="24"/>
        </w:rPr>
        <w:t>Final, copy-ready implementation guide for the free Lightning Lesson and paid workshop</w:t>
      </w:r>
    </w:p>
    <w:p>
      <w:pPr>
        <w:spacing w:before="560"/>
        <w:jc w:val="center"/>
      </w:pPr>
      <w:r>
        <w:rPr>
          <w:rFonts w:ascii="DejaVu Serif" w:hAnsi="DejaVu Serif"/>
          <w:b/>
          <w:color w:val="C1440E"/>
          <w:sz w:val="36"/>
        </w:rPr>
        <w:t>Temidayo Afonja</w:t>
      </w:r>
    </w:p>
    <w:p>
      <w:pPr>
        <w:jc w:val="center"/>
      </w:pPr>
      <w:r>
        <w:rPr>
          <w:rFonts w:ascii="Inter" w:hAnsi="Inter"/>
          <w:color w:val="0F2347"/>
          <w:sz w:val="20"/>
        </w:rPr>
        <w:t>Capability Formation  |  The Density Group</w:t>
      </w:r>
    </w:p>
    <w:tbl>
      <w:tblPr>
        <w:tblW w:type="auto" w:w="0"/>
        <w:jc w:val="center"/>
        <w:tblLook w:firstColumn="1" w:firstRow="1" w:lastColumn="0" w:lastRow="0" w:noHBand="0" w:noVBand="1" w:val="04A0"/>
      </w:tblPr>
      <w:tblGrid>
        <w:gridCol w:w="2541"/>
        <w:gridCol w:w="2541"/>
        <w:gridCol w:w="2541"/>
        <w:gridCol w:w="2541"/>
      </w:tblGrid>
      <w:tr>
        <w:tc>
          <w:tcPr>
            <w:tcW w:type="dxa" w:w="2541"/>
            <w:shd w:fill="0F2347"/>
            <w:tcBorders>
              <w:top w:val="nil"/>
              <w:left w:val="nil"/>
              <w:bottom w:val="nil"/>
              <w:right w:val="nil"/>
            </w:tcBorders>
          </w:tcPr>
          <w:p/>
        </w:tc>
        <w:tc>
          <w:tcPr>
            <w:tcW w:type="dxa" w:w="2541"/>
            <w:shd w:fill="F5F0E8"/>
            <w:tcBorders>
              <w:top w:val="nil"/>
              <w:left w:val="nil"/>
              <w:bottom w:val="nil"/>
              <w:right w:val="nil"/>
            </w:tcBorders>
          </w:tcPr>
          <w:p/>
        </w:tc>
        <w:tc>
          <w:tcPr>
            <w:tcW w:type="dxa" w:w="2541"/>
            <w:shd w:fill="C9A84C"/>
            <w:tcBorders>
              <w:top w:val="nil"/>
              <w:left w:val="nil"/>
              <w:bottom w:val="nil"/>
              <w:right w:val="nil"/>
            </w:tcBorders>
          </w:tcPr>
          <w:p/>
        </w:tc>
        <w:tc>
          <w:tcPr>
            <w:tcW w:type="dxa" w:w="2541"/>
            <w:shd w:fill="C1440E"/>
            <w:tcBorders>
              <w:top w:val="nil"/>
              <w:left w:val="nil"/>
              <w:bottom w:val="nil"/>
              <w:right w:val="nil"/>
            </w:tcBorders>
          </w:tcPr>
          <w:p/>
        </w:tc>
      </w:tr>
    </w:tbl>
    <w:p>
      <w:pPr>
        <w:spacing w:before="600"/>
        <w:jc w:val="center"/>
      </w:pPr>
      <w:r>
        <w:rPr>
          <w:rFonts w:ascii="Inter" w:hAnsi="Inter"/>
          <w:i/>
          <w:color w:val="0F2347"/>
          <w:sz w:val="20"/>
        </w:rPr>
        <w:t>Naming decision: searchable problem language leads. Proprietary language explains the method.</w:t>
      </w:r>
    </w:p>
    <w:p>
      <w:r>
        <w:br w:type="page"/>
      </w:r>
    </w:p>
    <w:p>
      <w:pPr>
        <w:spacing w:before="240" w:after="60"/>
        <w:keepNext/>
      </w:pPr>
      <w:r>
        <w:rPr>
          <w:rFonts w:ascii="DejaVu Serif" w:hAnsi="DejaVu Serif"/>
          <w:b/>
          <w:color w:val="0F2347"/>
          <w:sz w:val="40"/>
        </w:rPr>
        <w:t>1. Final Naming Architecture</w:t>
      </w:r>
    </w:p>
    <w:p>
      <w:pPr>
        <w:spacing w:after="160"/>
      </w:pPr>
      <w:r>
        <w:rPr>
          <w:rFonts w:ascii="Inter" w:hAnsi="Inter"/>
          <w:color w:val="6A7280"/>
          <w:sz w:val="20"/>
        </w:rPr>
        <w:t>The exact public names and the rule that governs both offers.</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FREE LIGHTNING LESSON - PUBLIC TITLE</w:t>
            </w:r>
          </w:p>
          <w:p>
            <w:pPr>
              <w:spacing w:before="40" w:after="0"/>
            </w:pPr>
            <w:r>
              <w:rPr>
                <w:rFonts w:ascii="Inter" w:hAnsi="Inter"/>
                <w:color w:val="0F2347"/>
                <w:sz w:val="22"/>
              </w:rPr>
              <w:t>How to Tell If Your Career Is Stalling</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FREE LESSON SUBTITLE</w:t>
            </w:r>
          </w:p>
          <w:p>
            <w:pPr>
              <w:spacing w:before="40" w:after="0"/>
            </w:pPr>
            <w:r>
              <w:rPr>
                <w:rFonts w:ascii="Inter" w:hAnsi="Inter"/>
                <w:color w:val="0F2347"/>
                <w:sz w:val="22"/>
              </w:rPr>
              <w:t>Three signs your role may have stopped building your skills and future options, even while you are performing well.</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FREE LESSON BRAND LINE</w:t>
            </w:r>
          </w:p>
          <w:p>
            <w:pPr>
              <w:spacing w:before="40" w:after="0"/>
            </w:pPr>
            <w:r>
              <w:rPr>
                <w:rFonts w:ascii="Inter" w:hAnsi="Inter"/>
                <w:color w:val="0F2347"/>
                <w:sz w:val="22"/>
              </w:rPr>
              <w:t>A Capability Formation Lightning Lesson</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PAID WORKSHOP - PUBLIC TITLE</w:t>
            </w:r>
          </w:p>
          <w:p>
            <w:pPr>
              <w:spacing w:before="40" w:after="0"/>
            </w:pPr>
            <w:r>
              <w:rPr>
                <w:rFonts w:ascii="Inter" w:hAnsi="Inter"/>
                <w:color w:val="0F2347"/>
                <w:sz w:val="22"/>
              </w:rPr>
              <w:t>Decide Whether to Stay or Leave Your Job | A Live Career Growth Assessment</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PAID WORKSHOP METHOD AND BRAND</w:t>
            </w:r>
          </w:p>
          <w:p>
            <w:pPr>
              <w:spacing w:before="40" w:after="0"/>
            </w:pPr>
            <w:r>
              <w:rPr>
                <w:rFonts w:ascii="Inter" w:hAnsi="Inter"/>
                <w:color w:val="0F2347"/>
                <w:sz w:val="22"/>
              </w:rPr>
              <w:t>The Capability Position Read | A Capability Formation Workshop</w:t>
            </w:r>
          </w:p>
        </w:tc>
      </w:tr>
    </w:tbl>
    <w:p>
      <w:pPr>
        <w:spacing w:after="20"/>
      </w:pPr>
    </w:p>
    <w:p>
      <w:pPr>
        <w:spacing w:before="160" w:after="80"/>
        <w:keepNext/>
      </w:pPr>
      <w:r>
        <w:rPr>
          <w:rFonts w:ascii="Inter" w:hAnsi="Inter"/>
          <w:b/>
          <w:color w:val="C1440E"/>
          <w:sz w:val="26"/>
        </w:rPr>
        <w:t>Discovery and naming rule</w:t>
      </w:r>
    </w:p>
    <w:p>
      <w:pPr>
        <w:spacing w:after="120" w:line="259" w:lineRule="auto"/>
      </w:pPr>
      <w:r>
        <w:rPr>
          <w:rFonts w:ascii="Inter" w:hAnsi="Inter"/>
          <w:color w:val="111111"/>
          <w:sz w:val="20"/>
        </w:rPr>
        <w:t>Use the language people already use when they search for help: career stalling, career growth, stay or leave a job, and next move. Keep Capability Formation and the Capability Position Read visible as the proprietary category and method, but do not make unfamiliar language carry the discovery burden.</w:t>
      </w:r>
    </w:p>
    <w:p>
      <w:pPr>
        <w:pStyle w:val="ListBullet"/>
        <w:spacing w:after="60"/>
      </w:pPr>
      <w:r>
        <w:rPr>
          <w:rFonts w:ascii="Inter" w:hAnsi="Inter"/>
          <w:color w:val="111111"/>
          <w:sz w:val="20"/>
        </w:rPr>
        <w:t>The free offer creates recognition: “Is my career stalling even though I am performing well?”</w:t>
      </w:r>
    </w:p>
    <w:p>
      <w:pPr>
        <w:pStyle w:val="ListBullet"/>
        <w:spacing w:after="60"/>
      </w:pPr>
      <w:r>
        <w:rPr>
          <w:rFonts w:ascii="Inter" w:hAnsi="Inter"/>
          <w:color w:val="111111"/>
          <w:sz w:val="20"/>
        </w:rPr>
        <w:t>The paid offer completes assessment and decision: “What is my role actually building, and what move does my evidence support testing?”</w:t>
      </w:r>
    </w:p>
    <w:p>
      <w:pPr>
        <w:pStyle w:val="ListBullet"/>
        <w:spacing w:after="60"/>
      </w:pPr>
      <w:r>
        <w:rPr>
          <w:rFonts w:ascii="Inter" w:hAnsi="Inter"/>
          <w:color w:val="111111"/>
          <w:sz w:val="20"/>
        </w:rPr>
        <w:t>The offer progression is Recognition → Assessment → Decision.</w:t>
      </w:r>
    </w:p>
    <w:p>
      <w:pPr>
        <w:pStyle w:val="ListBullet"/>
        <w:spacing w:after="60"/>
      </w:pPr>
      <w:r>
        <w:rPr>
          <w:rFonts w:ascii="Inter" w:hAnsi="Inter"/>
          <w:color w:val="111111"/>
          <w:sz w:val="20"/>
        </w:rPr>
        <w:t>Do not return to “Is Your Work Still Building You?” as the Maven page title. Keep it as the opening teaching question.</w:t>
      </w:r>
    </w:p>
    <w:p>
      <w:pPr>
        <w:pStyle w:val="ListBullet"/>
        <w:spacing w:after="60"/>
      </w:pPr>
      <w:r>
        <w:rPr>
          <w:rFonts w:ascii="Inter" w:hAnsi="Inter"/>
          <w:color w:val="111111"/>
          <w:sz w:val="20"/>
        </w:rPr>
        <w:t>Do not return to “Should I Stay or Should I Move?” as the workshop title. That name is retired.</w:t>
      </w:r>
    </w:p>
    <w:p>
      <w:pPr>
        <w:spacing w:before="160" w:after="80"/>
        <w:keepNext/>
      </w:pPr>
      <w:r>
        <w:rPr>
          <w:rFonts w:ascii="Inter" w:hAnsi="Inter"/>
          <w:b/>
          <w:color w:val="C1440E"/>
          <w:sz w:val="26"/>
        </w:rPr>
        <w:t>Final duration and pricing</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Free lesson duration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45 minutes</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Paid workshop duration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Two hours live, including a 105-minute guided Capability Position Read and 15 minutes for Q&amp;A and applications.</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Paid workshop price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$249 public launch price for the first two paid deliveries.</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Pricing language to avoid</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Do not call $249 a founding discount. Do not use the retired $99 or $149 prices. Do not use a discount code.</w:t>
            </w:r>
          </w:p>
        </w:tc>
      </w:tr>
    </w:tbl>
    <w:p>
      <w:pPr>
        <w:spacing w:after="20"/>
      </w:pPr>
    </w:p>
    <w:p>
      <w:pPr>
        <w:spacing w:before="240" w:after="60"/>
        <w:keepNext/>
      </w:pPr>
      <w:r>
        <w:rPr>
          <w:rFonts w:ascii="DejaVu Serif" w:hAnsi="DejaVu Serif"/>
          <w:b/>
          <w:color w:val="0F2347"/>
          <w:sz w:val="40"/>
        </w:rPr>
        <w:t>2. Free Lightning Lesson: Maven Entry</w:t>
      </w:r>
    </w:p>
    <w:p>
      <w:pPr>
        <w:spacing w:after="160"/>
      </w:pPr>
      <w:r>
        <w:rPr>
          <w:rFonts w:ascii="Inter" w:hAnsi="Inter"/>
          <w:color w:val="6A7280"/>
          <w:sz w:val="20"/>
        </w:rPr>
        <w:t>Copy the following into the Maven Lightning Lesson builder.</w:t>
      </w:r>
    </w:p>
    <w:p>
      <w:pPr>
        <w:spacing w:before="160" w:after="80"/>
        <w:keepNext/>
      </w:pPr>
      <w:r>
        <w:rPr>
          <w:rFonts w:ascii="Inter" w:hAnsi="Inter"/>
          <w:b/>
          <w:color w:val="C1440E"/>
          <w:sz w:val="26"/>
        </w:rPr>
        <w:t>Event information</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Title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How to Tell If Your Career Is Stalling</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Date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[ENTER CONFIRMED DELIVERY DATE]</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Start time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[ENTER CONFIRMED START TIME]</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Time zone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America/Chicago</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Duration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45 minutes</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Event link</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[ADD THE CONFIRMED ZOOM LINK]</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Linked paid product</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Decide Whether to Stay or Leave Your Job | A Live Career Growth Assessment</w:t>
            </w:r>
          </w:p>
        </w:tc>
      </w:tr>
    </w:tbl>
    <w:p>
      <w:pPr>
        <w:spacing w:after="20"/>
      </w:pPr>
    </w:p>
    <w:p>
      <w:pPr>
        <w:spacing w:before="160" w:after="80"/>
        <w:keepNext/>
      </w:pPr>
      <w:r>
        <w:rPr>
          <w:rFonts w:ascii="Inter" w:hAnsi="Inter"/>
          <w:b/>
          <w:color w:val="C1440E"/>
          <w:sz w:val="26"/>
        </w:rPr>
        <w:t>Lesson image decision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USE THIS SETTING</w:t>
            </w:r>
          </w:p>
          <w:p>
            <w:pPr>
              <w:spacing w:before="40" w:after="0"/>
            </w:pPr>
            <w:r>
              <w:rPr>
                <w:rFonts w:ascii="Inter" w:hAnsi="Inter"/>
                <w:color w:val="0F2347"/>
                <w:sz w:val="22"/>
              </w:rPr>
              <w:t>Use Maven’s automatically generated Lightning Lesson image.</w:t>
            </w:r>
          </w:p>
        </w:tc>
      </w:tr>
      <w:tr>
        <w:tc>
          <w:tcPr>
            <w:tcW w:type="dxa" w:w="10166"/>
            <w:shd w:fill="FFFFFF"/>
            <w:tcBorders>
              <w:left w:val="single" w:sz="6" w:color="D9D1C4"/>
              <w:bottom w:val="single" w:sz="6" w:color="D9D1C4"/>
              <w:right w:val="single" w:sz="6" w:color="D9D1C4"/>
            </w:tcBorders>
            <w:tcMar>
              <w:top w:w="100" w:type="dxa"/>
              <w:start w:w="180" w:type="dxa"/>
              <w:bottom w:w="100" w:type="dxa"/>
              <w:end w:w="180" w:type="dxa"/>
            </w:tcMar>
          </w:tcPr>
          <w:p>
            <w:r>
              <w:rPr>
                <w:rFonts w:ascii="Inter" w:hAnsi="Inter"/>
                <w:i/>
                <w:color w:val="6A7280"/>
                <w:sz w:val="18"/>
              </w:rPr>
              <w:t>Do not upload a custom lesson image for the Maven signup page. Maven’s native card already uses the lesson title, your name, your credentials, and your profile headshot. Create separate branded promotional graphics only for LinkedIn, Substack, email, or social sharing.</w:t>
            </w:r>
          </w:p>
        </w:tc>
      </w:tr>
    </w:tbl>
    <w:p>
      <w:pPr>
        <w:spacing w:after="20"/>
      </w:pPr>
    </w:p>
    <w:p>
      <w:pPr>
        <w:spacing w:after="120" w:line="259" w:lineRule="auto"/>
      </w:pPr>
      <w:r>
        <w:rPr>
          <w:rFonts w:ascii="Inter" w:hAnsi="Inter"/>
          <w:color w:val="111111"/>
          <w:sz w:val="20"/>
        </w:rPr>
        <w:t>Before publishing, confirm that your strongest executive headshot is attached to your Maven expert profile and that the profile line reads:</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EXPERT PROFILE LINE</w:t>
            </w:r>
          </w:p>
          <w:p>
            <w:pPr>
              <w:spacing w:before="40" w:after="0"/>
            </w:pPr>
            <w:r>
              <w:rPr>
                <w:rFonts w:ascii="Inter" w:hAnsi="Inter"/>
                <w:color w:val="0F2347"/>
                <w:sz w:val="22"/>
              </w:rPr>
              <w:t>Organizational capability strategist (PwC, Deloitte, EY). Author, The Capability Audit.</w:t>
            </w:r>
          </w:p>
        </w:tc>
      </w:tr>
    </w:tbl>
    <w:p>
      <w:pPr>
        <w:spacing w:after="20"/>
      </w:pPr>
    </w:p>
    <w:p>
      <w:pPr>
        <w:spacing w:before="160" w:after="80"/>
        <w:keepNext/>
      </w:pPr>
      <w:r>
        <w:rPr>
          <w:rFonts w:ascii="Inter" w:hAnsi="Inter"/>
          <w:b/>
          <w:color w:val="C1440E"/>
          <w:sz w:val="26"/>
        </w:rPr>
        <w:t>Three learning outcomes</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Outcome 1 title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Separate Strong Performance From Career Growth</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Outcome 1 description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See why being trusted, praised, promoted, or heavily relied upon does not automatically mean your role is building transferable capability.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Outcome 2 title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Recognize Three Signs Your Career May Be Stalling</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Outcome 2 description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Identify when repeated work, company-specific value, or growing dependence on you may be narrowing the skills and future options you are building.</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Outcome 3 title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Know What to Examine Before Making a Move</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Outcome 3 description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Leave with an evidence-based question that shows whether your role deserves deeper assessment, without forcing a rushed stay-or-leave decision.</w:t>
            </w:r>
          </w:p>
        </w:tc>
      </w:tr>
    </w:tbl>
    <w:p>
      <w:pPr>
        <w:spacing w:after="20"/>
      </w:pPr>
    </w:p>
    <w:p>
      <w:pPr>
        <w:spacing w:before="160" w:after="80"/>
        <w:keepNext/>
      </w:pPr>
      <w:r>
        <w:rPr>
          <w:rFonts w:ascii="Inter" w:hAnsi="Inter"/>
          <w:b/>
          <w:color w:val="C1440E"/>
          <w:sz w:val="26"/>
        </w:rPr>
        <w:t>Why this topic matters</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PASTE INTO THE 400-CHARACTER FIELD</w:t>
            </w:r>
          </w:p>
          <w:p>
            <w:pPr>
              <w:spacing w:before="40" w:after="0"/>
            </w:pPr>
            <w:r>
              <w:rPr>
                <w:rFonts w:ascii="Inter" w:hAnsi="Inter"/>
                <w:color w:val="0F2347"/>
                <w:sz w:val="22"/>
              </w:rPr>
              <w:t>Many capable professionals assume that strong performance, greater responsibility, or being indispensable means their careers are still growing. But a role can keep rewarding you while narrowing the skills and options you are building. This lesson will help you recognize three early warning signs and identify what deserves a closer look before career stagnation becomes harder to reverse.</w:t>
            </w:r>
          </w:p>
        </w:tc>
      </w:tr>
    </w:tbl>
    <w:p>
      <w:pPr>
        <w:spacing w:after="20"/>
      </w:pPr>
    </w:p>
    <w:p>
      <w:pPr>
        <w:spacing w:before="160" w:after="80"/>
        <w:keepNext/>
      </w:pPr>
      <w:r>
        <w:rPr>
          <w:rFonts w:ascii="Inter" w:hAnsi="Inter"/>
          <w:b/>
          <w:color w:val="C1440E"/>
          <w:sz w:val="26"/>
        </w:rPr>
        <w:t>What the free lesson teaches</w:t>
      </w:r>
    </w:p>
    <w:p>
      <w:pPr>
        <w:pStyle w:val="ListBullet"/>
        <w:spacing w:after="60"/>
      </w:pPr>
      <w:r>
        <w:rPr>
          <w:rFonts w:ascii="Inter" w:hAnsi="Inter"/>
          <w:color w:val="111111"/>
          <w:sz w:val="20"/>
        </w:rPr>
        <w:t>Performance can be mistaken for growth.</w:t>
      </w:r>
    </w:p>
    <w:p>
      <w:pPr>
        <w:pStyle w:val="ListBullet"/>
        <w:spacing w:after="60"/>
      </w:pPr>
      <w:r>
        <w:rPr>
          <w:rFonts w:ascii="Inter" w:hAnsi="Inter"/>
          <w:color w:val="111111"/>
          <w:sz w:val="20"/>
        </w:rPr>
        <w:t>Indispensability can be mistaken for optionality.</w:t>
      </w:r>
    </w:p>
    <w:p>
      <w:pPr>
        <w:pStyle w:val="ListBullet"/>
        <w:spacing w:after="60"/>
      </w:pPr>
      <w:r>
        <w:rPr>
          <w:rFonts w:ascii="Inter" w:hAnsi="Inter"/>
          <w:color w:val="111111"/>
          <w:sz w:val="20"/>
        </w:rPr>
        <w:t>Greater responsibility can be mistaken for capability expansion.</w:t>
      </w:r>
    </w:p>
    <w:p>
      <w:pPr>
        <w:pStyle w:val="ListBullet"/>
        <w:spacing w:after="60"/>
      </w:pPr>
      <w:r>
        <w:rPr>
          <w:rFonts w:ascii="Inter" w:hAnsi="Inter"/>
          <w:color w:val="111111"/>
          <w:sz w:val="20"/>
        </w:rPr>
        <w:t>The participant privately identifies which sign is most present, one example from the last 90 days, and what deserves closer examination.</w:t>
      </w:r>
    </w:p>
    <w:p>
      <w:pPr>
        <w:spacing w:after="120" w:line="259" w:lineRule="auto"/>
      </w:pPr>
      <w:r>
        <w:rPr>
          <w:rFonts w:ascii="Inter" w:hAnsi="Inter"/>
          <w:color w:val="111111"/>
          <w:sz w:val="20"/>
        </w:rPr>
        <w:t>The free lesson does not administer the 12-statement instrument, teach the evidence protocol, calculate corrected totals, assign a Four States placement, produce a Next-Move Decision, or unlock the Field Kit process.</w:t>
      </w:r>
    </w:p>
    <w:p>
      <w:pPr>
        <w:spacing w:before="160" w:after="80"/>
        <w:keepNext/>
      </w:pPr>
      <w:r>
        <w:rPr>
          <w:rFonts w:ascii="Inter" w:hAnsi="Inter"/>
          <w:b/>
          <w:color w:val="C1440E"/>
          <w:sz w:val="26"/>
        </w:rPr>
        <w:t>45-minute session promise</w:t>
      </w:r>
    </w:p>
    <w:p>
      <w:pPr>
        <w:spacing w:before="80" w:after="120"/>
      </w:pPr>
      <w:r>
        <w:rPr>
          <w:i/>
          <w:sz w:val="19"/>
        </w:rPr>
        <w:t>[Aligned for Lightning Lesson v3.1 — updated so this sequence matches the current deck: boundary and outcomes lead, a personal story replaces the old “question underneath” framing, the three signs are followed by the Career Stall Check and an interpretation beat, and Q&amp;A now runs after the paid-workshop bridge, not before it.]</w:t>
      </w:r>
    </w:p>
    <w:p>
      <w:pPr>
        <w:spacing w:before="40" w:after="120"/>
      </w:pPr>
      <w:r>
        <w:rPr>
          <w:i/>
          <w:sz w:val="19"/>
        </w:rPr>
        <w:t>[Aligned for Lightning Lesson v3.2 — the free lesson now opens with a Welcome slide introducing Temidayo and her authority, followed by a concise boundary statement on its own slide, before the opening poll; all three fall within the 0:00-5:00 block below. The old undifferentiated “welcome, boundary, and opening poll” framing is replaced accordingly; total duration remains 45 minutes.]</w:t>
      </w:r>
    </w:p>
    <w:tbl>
      <w:tblPr>
        <w:tblW w:type="auto" w:w="0"/>
        <w:jc w:val="center"/>
        <w:tblLayout w:type="fixed"/>
        <w:tblLook w:firstColumn="1" w:firstRow="1" w:lastColumn="0" w:lastRow="0" w:noHBand="0" w:noVBand="1" w:val="04A0"/>
      </w:tblPr>
      <w:tblGrid>
        <w:gridCol w:w="2592"/>
        <w:gridCol w:w="7200"/>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Time</w:t>
            </w:r>
          </w:p>
        </w:tc>
        <w:tc>
          <w:tcPr>
            <w:tcW w:type="dxa" w:w="5083"/>
            <w:shd w:fill="0F2347"/>
            <w:tcMar>
              <w:top w:w="100" w:type="dxa"/>
              <w:start w:w="120" w:type="dxa"/>
              <w:bottom w:w="100" w:type="dxa"/>
              <w:end w:w="120" w:type="dxa"/>
            </w:tcMar>
          </w:tcPr>
          <w:p>
            <w:r>
              <w:rPr>
                <w:rFonts w:ascii="Inter" w:hAnsi="Inter"/>
                <w:b/>
                <w:color w:val="FFFFFF"/>
                <w:sz w:val="18"/>
              </w:rPr>
              <w:t>Session segment</w:t>
            </w:r>
          </w:p>
        </w:tc>
      </w:tr>
      <w:tr>
        <w:tc>
          <w:tcPr>
            <w:tcW w:type="dxa" w:w="259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sz w:val="18"/>
              </w:rPr>
              <w:t>0:00-3:00</w:t>
            </w:r>
          </w:p>
        </w:tc>
        <w:tc>
          <w:tcPr>
            <w:tcW w:type="dxa" w:w="720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sz w:val="19"/>
              </w:rPr>
              <w:t>Title and Welcome — introducing Temidayo and why she built this lesson</w:t>
            </w:r>
          </w:p>
        </w:tc>
      </w:tr>
      <w:tr>
        <w:tc>
          <w:tcPr>
            <w:tcW w:type="dxa" w:w="259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sz w:val="18"/>
              </w:rPr>
              <w:t>3:00-5:00</w:t>
            </w:r>
          </w:p>
        </w:tc>
        <w:tc>
          <w:tcPr>
            <w:tcW w:type="dxa" w:w="720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sz w:val="19"/>
              </w:rPr>
              <w:t>Concise boundary and opening poll</w:t>
            </w:r>
          </w:p>
        </w:tc>
      </w:tr>
      <w:tr>
        <w:tc>
          <w:tcPr>
            <w:tcW w:type="dxa" w:w="259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sz w:val="18"/>
              </w:rPr>
              <w:t>5:00-8:00</w:t>
            </w:r>
          </w:p>
        </w:tc>
        <w:tc>
          <w:tcPr>
            <w:tcW w:type="dxa" w:w="720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sz w:val="19"/>
              </w:rPr>
              <w:t>What you’ll leave with and the central insight</w:t>
            </w:r>
          </w:p>
        </w:tc>
      </w:tr>
      <w:tr>
        <w:tc>
          <w:tcPr>
            <w:tcW w:type="dxa" w:w="259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sz w:val="18"/>
              </w:rPr>
              <w:t>8:00-23:00</w:t>
            </w:r>
          </w:p>
        </w:tc>
        <w:tc>
          <w:tcPr>
            <w:tcW w:type="dxa" w:w="720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sz w:val="19"/>
              </w:rPr>
              <w:t>The three signs</w:t>
            </w:r>
          </w:p>
        </w:tc>
      </w:tr>
      <w:tr>
        <w:tc>
          <w:tcPr>
            <w:tcW w:type="dxa" w:w="259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sz w:val="18"/>
              </w:rPr>
              <w:t>23:00-28:00</w:t>
            </w:r>
          </w:p>
        </w:tc>
        <w:tc>
          <w:tcPr>
            <w:tcW w:type="dxa" w:w="720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sz w:val="19"/>
              </w:rPr>
              <w:t>Career Stall Check</w:t>
            </w:r>
          </w:p>
        </w:tc>
      </w:tr>
      <w:tr>
        <w:tc>
          <w:tcPr>
            <w:tcW w:type="dxa" w:w="259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sz w:val="18"/>
              </w:rPr>
              <w:t>28:00-31:00</w:t>
            </w:r>
          </w:p>
        </w:tc>
        <w:tc>
          <w:tcPr>
            <w:tcW w:type="dxa" w:w="720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sz w:val="19"/>
              </w:rPr>
              <w:t>Interpret without diagnosing</w:t>
            </w:r>
          </w:p>
        </w:tc>
      </w:tr>
      <w:tr>
        <w:tc>
          <w:tcPr>
            <w:tcW w:type="dxa" w:w="259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sz w:val="18"/>
              </w:rPr>
              <w:t>31:00-34:00</w:t>
            </w:r>
          </w:p>
        </w:tc>
        <w:tc>
          <w:tcPr>
            <w:tcW w:type="dxa" w:w="720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sz w:val="19"/>
              </w:rPr>
              <w:t>Bridge to the paid workshop</w:t>
            </w:r>
          </w:p>
        </w:tc>
      </w:tr>
      <w:tr>
        <w:tc>
          <w:tcPr>
            <w:tcW w:type="dxa" w:w="259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sz w:val="18"/>
              </w:rPr>
              <w:t>34:00-45:00</w:t>
            </w:r>
          </w:p>
        </w:tc>
        <w:tc>
          <w:tcPr>
            <w:tcW w:type="dxa" w:w="720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sz w:val="19"/>
              </w:rPr>
              <w:t>Q&amp;A</w:t>
            </w:r>
          </w:p>
        </w:tc>
      </w:tr>
    </w:tbl>
    <w:p>
      <w:pPr>
        <w:spacing w:before="80" w:after="120"/>
      </w:pPr>
      <w:r>
        <w:rPr>
          <w:b w:val="0"/>
          <w:i/>
          <w:sz w:val="19"/>
        </w:rPr>
        <w:t>[Operational clarification patch — Career Stall Check distribution and AI boundary made explicit for the free lesson participant experience. Does not change the run-of-show above, the slide deck, or the Career Stall Check artifact.]</w:t>
      </w:r>
    </w:p>
    <w:p>
      <w:pPr>
        <w:spacing w:before="80" w:after="80"/>
      </w:pPr>
      <w:r>
        <w:rPr>
          <w:b/>
          <w:i w:val="0"/>
          <w:sz w:val="23"/>
        </w:rPr>
        <w:t>Career Stall Check distribution and AI boundary</w:t>
      </w:r>
    </w:p>
    <w:p>
      <w:pPr>
        <w:spacing w:after="60"/>
      </w:pPr>
      <w:r>
        <w:rPr>
          <w:b/>
          <w:i w:val="0"/>
          <w:color w:val="C1440E"/>
        </w:rPr>
        <w:t xml:space="preserve">•  </w:t>
      </w:r>
      <w:r>
        <w:rPr>
          <w:b w:val="0"/>
          <w:i w:val="0"/>
        </w:rPr>
        <w:t>Career Stall Check PDF sent 24 hours before the session.</w:t>
      </w:r>
    </w:p>
    <w:p>
      <w:pPr>
        <w:spacing w:after="60"/>
      </w:pPr>
      <w:r>
        <w:rPr>
          <w:b/>
          <w:i w:val="0"/>
          <w:color w:val="C1440E"/>
        </w:rPr>
        <w:t xml:space="preserve">•  </w:t>
      </w:r>
      <w:r>
        <w:rPr>
          <w:b w:val="0"/>
          <w:i w:val="0"/>
        </w:rPr>
        <w:t>Participants asked to download but not complete it.</w:t>
      </w:r>
    </w:p>
    <w:p>
      <w:pPr>
        <w:spacing w:after="60"/>
      </w:pPr>
      <w:r>
        <w:rPr>
          <w:b/>
          <w:i w:val="0"/>
          <w:color w:val="C1440E"/>
        </w:rPr>
        <w:t xml:space="preserve">•  </w:t>
      </w:r>
      <w:r>
        <w:rPr>
          <w:b w:val="0"/>
          <w:i w:val="0"/>
        </w:rPr>
        <w:t>Link reposted in chat at arrival and minute 23.</w:t>
      </w:r>
    </w:p>
    <w:p>
      <w:pPr>
        <w:spacing w:after="60"/>
      </w:pPr>
      <w:r>
        <w:rPr>
          <w:b/>
          <w:i w:val="0"/>
          <w:color w:val="C1440E"/>
        </w:rPr>
        <w:t xml:space="preserve">•  </w:t>
      </w:r>
      <w:r>
        <w:rPr>
          <w:b w:val="0"/>
          <w:i w:val="0"/>
        </w:rPr>
        <w:t>Completed answers remain private and are not collected.</w:t>
      </w:r>
    </w:p>
    <w:p>
      <w:pPr>
        <w:spacing w:after="60"/>
      </w:pPr>
      <w:r>
        <w:rPr>
          <w:b/>
          <w:i w:val="0"/>
          <w:color w:val="C1440E"/>
        </w:rPr>
        <w:t xml:space="preserve">•  </w:t>
      </w:r>
      <w:r>
        <w:rPr>
          <w:b w:val="0"/>
          <w:i w:val="0"/>
        </w:rPr>
        <w:t>No participant AI prompt is used in the free lesson.</w:t>
      </w:r>
    </w:p>
    <w:p>
      <w:pPr>
        <w:spacing w:after="20"/>
      </w:pPr>
    </w:p>
    <w:p>
      <w:pPr>
        <w:spacing w:before="240" w:after="60"/>
        <w:keepNext/>
      </w:pPr>
      <w:r>
        <w:rPr>
          <w:rFonts w:ascii="DejaVu Serif" w:hAnsi="DejaVu Serif"/>
          <w:b/>
          <w:color w:val="0F2347"/>
          <w:sz w:val="40"/>
        </w:rPr>
        <w:t>3. Free Lesson: Public Page and Promotion Copy</w:t>
      </w:r>
    </w:p>
    <w:p>
      <w:pPr>
        <w:spacing w:after="160"/>
      </w:pPr>
      <w:r>
        <w:rPr>
          <w:rFonts w:ascii="Inter" w:hAnsi="Inter"/>
          <w:color w:val="6A7280"/>
          <w:sz w:val="20"/>
        </w:rPr>
        <w:t>Use this language outside the builder fields when Maven provides a description, email, or course-promo area.</w:t>
      </w:r>
    </w:p>
    <w:p>
      <w:pPr>
        <w:spacing w:before="160" w:after="80"/>
        <w:keepNext/>
      </w:pPr>
      <w:r>
        <w:rPr>
          <w:rFonts w:ascii="Inter" w:hAnsi="Inter"/>
          <w:b/>
          <w:color w:val="C1440E"/>
          <w:sz w:val="26"/>
        </w:rPr>
        <w:t>Canonical public lockup</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TITLE</w:t>
            </w:r>
          </w:p>
          <w:p>
            <w:pPr>
              <w:spacing w:before="40" w:after="0"/>
            </w:pPr>
            <w:r>
              <w:rPr>
                <w:rFonts w:ascii="Inter" w:hAnsi="Inter"/>
                <w:color w:val="0F2347"/>
                <w:sz w:val="22"/>
              </w:rPr>
              <w:t>How to Tell If Your Career Is Stalling</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SUBTITLE</w:t>
            </w:r>
          </w:p>
          <w:p>
            <w:pPr>
              <w:spacing w:before="40" w:after="0"/>
            </w:pPr>
            <w:r>
              <w:rPr>
                <w:rFonts w:ascii="Inter" w:hAnsi="Inter"/>
                <w:color w:val="0F2347"/>
                <w:sz w:val="22"/>
              </w:rPr>
              <w:t>Three signs your role may have stopped building your skills and future options, even while you are performing well.</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BRAND LINE</w:t>
            </w:r>
          </w:p>
          <w:p>
            <w:pPr>
              <w:spacing w:before="40" w:after="0"/>
            </w:pPr>
            <w:r>
              <w:rPr>
                <w:rFonts w:ascii="Inter" w:hAnsi="Inter"/>
                <w:color w:val="0F2347"/>
                <w:sz w:val="22"/>
              </w:rPr>
              <w:t>A Capability Formation Lightning Lesson</w:t>
            </w:r>
          </w:p>
        </w:tc>
      </w:tr>
    </w:tbl>
    <w:p>
      <w:pPr>
        <w:spacing w:after="20"/>
      </w:pPr>
    </w:p>
    <w:p>
      <w:pPr>
        <w:spacing w:before="160" w:after="80"/>
        <w:keepNext/>
      </w:pPr>
      <w:r>
        <w:rPr>
          <w:rFonts w:ascii="Inter" w:hAnsi="Inter"/>
          <w:b/>
          <w:color w:val="C1440E"/>
          <w:sz w:val="26"/>
        </w:rPr>
        <w:t>Short promotional description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USE IN MAVEN EMAILS, LINKEDIN EVENT COPY, AND CALENDAR DESCRIPTIONS</w:t>
            </w:r>
          </w:p>
          <w:p>
            <w:pPr>
              <w:spacing w:before="40" w:after="0"/>
            </w:pPr>
            <w:r>
              <w:rPr>
                <w:rFonts w:ascii="Inter" w:hAnsi="Inter"/>
                <w:color w:val="0F2347"/>
                <w:sz w:val="22"/>
              </w:rPr>
              <w:t>A free 45-minute lesson for capable professionals who are performing well but are no longer sure their role is still building valuable skills and future options. Learn three signs that career growth may have slowed before you make a rushed decision to stay or leave.</w:t>
            </w:r>
          </w:p>
        </w:tc>
      </w:tr>
    </w:tbl>
    <w:p>
      <w:pPr>
        <w:spacing w:after="20"/>
      </w:pPr>
    </w:p>
    <w:p>
      <w:pPr>
        <w:spacing w:before="160" w:after="80"/>
        <w:keepNext/>
      </w:pPr>
      <w:r>
        <w:rPr>
          <w:rFonts w:ascii="Inter" w:hAnsi="Inter"/>
          <w:b/>
          <w:color w:val="C1440E"/>
          <w:sz w:val="26"/>
        </w:rPr>
        <w:t>Opening teaching question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KEEP THIS INSIDE THE LESSON, NOT AS THE MAVEN TITLE</w:t>
            </w:r>
          </w:p>
          <w:p>
            <w:pPr>
              <w:spacing w:before="40" w:after="0"/>
            </w:pPr>
            <w:r>
              <w:rPr>
                <w:rFonts w:ascii="Inter" w:hAnsi="Inter"/>
                <w:color w:val="0F2347"/>
                <w:sz w:val="22"/>
              </w:rPr>
              <w:t>Is your work still building you?</w:t>
            </w:r>
          </w:p>
        </w:tc>
      </w:tr>
    </w:tbl>
    <w:p>
      <w:pPr>
        <w:spacing w:after="20"/>
      </w:pPr>
    </w:p>
    <w:p>
      <w:pPr>
        <w:spacing w:before="160" w:after="80"/>
        <w:keepNext/>
      </w:pPr>
      <w:r>
        <w:rPr>
          <w:rFonts w:ascii="Inter" w:hAnsi="Inter"/>
          <w:b/>
          <w:color w:val="C1440E"/>
          <w:sz w:val="26"/>
        </w:rPr>
        <w:t>Bridge to the workshop</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SAY NEAR THE CLOSE</w:t>
            </w:r>
          </w:p>
          <w:p>
            <w:pPr>
              <w:spacing w:before="40" w:after="0"/>
            </w:pPr>
            <w:r>
              <w:rPr>
                <w:rFonts w:ascii="Inter" w:hAnsi="Inter"/>
                <w:color w:val="0F2347"/>
                <w:sz w:val="22"/>
              </w:rPr>
              <w:t>Today was designed to help you recognize the signals. The paid workshop is where you examine your own position. You will complete the full Capability Position Read, correct your score against evidence from your actual work, locate your provisional state, and write the category of move your evidence supports testing.</w:t>
            </w:r>
          </w:p>
        </w:tc>
      </w:tr>
    </w:tbl>
    <w:p>
      <w:pPr>
        <w:spacing w:after="20"/>
      </w:pPr>
    </w:p>
    <w:p>
      <w:pPr>
        <w:spacing w:before="160" w:after="80"/>
        <w:keepNext/>
      </w:pPr>
      <w:r>
        <w:rPr>
          <w:rFonts w:ascii="Inter" w:hAnsi="Inter"/>
          <w:b/>
          <w:color w:val="C1440E"/>
          <w:sz w:val="26"/>
        </w:rPr>
        <w:t>Course-promo connection</w:t>
      </w:r>
    </w:p>
    <w:p>
      <w:pPr>
        <w:spacing w:after="120" w:line="259" w:lineRule="auto"/>
      </w:pPr>
      <w:r>
        <w:rPr>
          <w:rFonts w:ascii="Inter" w:hAnsi="Inter"/>
          <w:color w:val="111111"/>
          <w:sz w:val="20"/>
        </w:rPr>
        <w:t>Connect the Lightning Lesson to the paid workshop in Maven so the page can display it as the related product and so registrants can join the workshop interest list.</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RELATED PRODUCT</w:t>
            </w:r>
          </w:p>
          <w:p>
            <w:pPr>
              <w:spacing w:before="40" w:after="0"/>
            </w:pPr>
            <w:r>
              <w:rPr>
                <w:rFonts w:ascii="Inter" w:hAnsi="Inter"/>
                <w:color w:val="0F2347"/>
                <w:sz w:val="22"/>
              </w:rPr>
              <w:t>Decide Whether to Stay or Leave Your Job | A Live Career Growth Assessment</w:t>
            </w:r>
          </w:p>
        </w:tc>
      </w:tr>
    </w:tbl>
    <w:p>
      <w:pPr>
        <w:spacing w:after="20"/>
      </w:pPr>
    </w:p>
    <w:p>
      <w:pPr>
        <w:spacing w:before="240" w:after="60"/>
        <w:keepNext/>
      </w:pPr>
      <w:r>
        <w:rPr>
          <w:rFonts w:ascii="DejaVu Serif" w:hAnsi="DejaVu Serif"/>
          <w:b/>
          <w:color w:val="0F2347"/>
          <w:sz w:val="40"/>
        </w:rPr>
        <w:t>4. Paid Workshop: Maven Setup</w:t>
      </w:r>
    </w:p>
    <w:p>
      <w:pPr>
        <w:spacing w:after="160"/>
      </w:pPr>
      <w:r>
        <w:rPr>
          <w:rFonts w:ascii="Inter" w:hAnsi="Inter"/>
          <w:color w:val="6A7280"/>
          <w:sz w:val="20"/>
        </w:rPr>
        <w:t>Exact name, URL, format, pricing, and image direction.</w:t>
      </w:r>
    </w:p>
    <w:p>
      <w:pPr>
        <w:spacing w:before="160" w:after="80"/>
        <w:keepNext/>
      </w:pPr>
      <w:r>
        <w:rPr>
          <w:rFonts w:ascii="Inter" w:hAnsi="Inter"/>
          <w:b/>
          <w:color w:val="C1440E"/>
          <w:sz w:val="26"/>
        </w:rPr>
        <w:t>Workshop identity</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Workshop name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Decide Whether to Stay or Leave Your Job | A Live Career Growth Assessment</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Recommended URL slug</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decide-whether-to-stay-or-leave-your-job</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Method line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The Capability Position Read</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Brand line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A Capability Formation Workshop</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Format</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Two hours live, including a 105-minute guided Capability Position Read and 15 minutes for Q&amp;A and applications.</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Cohort size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Limit the first delivery to 15 participants. Preferred ceiling: 20.</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Price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$249</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Price description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Public launch price for the first two paid deliveries. Not a founding discount.</w:t>
            </w:r>
          </w:p>
        </w:tc>
      </w:tr>
    </w:tbl>
    <w:p>
      <w:pPr>
        <w:spacing w:after="20"/>
      </w:pPr>
    </w:p>
    <w:p>
      <w:pPr>
        <w:spacing w:before="160" w:after="80"/>
        <w:keepNext/>
      </w:pPr>
      <w:r>
        <w:rPr>
          <w:rFonts w:ascii="Inter" w:hAnsi="Inter"/>
          <w:b/>
          <w:color w:val="C1440E"/>
          <w:sz w:val="26"/>
        </w:rPr>
        <w:t>Maven workshop image decision</w:t>
      </w:r>
    </w:p>
    <w:p>
      <w:pPr>
        <w:spacing w:after="120" w:line="259" w:lineRule="auto"/>
      </w:pPr>
      <w:r>
        <w:rPr>
          <w:rFonts w:ascii="Inter" w:hAnsi="Inter"/>
          <w:color w:val="111111"/>
          <w:sz w:val="20"/>
        </w:rPr>
        <w:t>The paid workshop should use a custom image, but it should not repeat the full landing-page title as a crowded poster. Maven already displays the title as page text.</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WORKSHOP HERO IMAGE COPY</w:t>
            </w:r>
          </w:p>
          <w:p>
            <w:pPr>
              <w:spacing w:before="40" w:after="0"/>
            </w:pPr>
            <w:r>
              <w:rPr>
                <w:rFonts w:ascii="Inter" w:hAnsi="Inter"/>
                <w:color w:val="0F2347"/>
                <w:sz w:val="22"/>
              </w:rPr>
              <w:t>A CAPABILITY FORMATION WORKSHOP</w:t>
              <w:br/>
              <w:br/>
              <w:t>THE CAPABILITY POSITION READ</w:t>
              <w:br/>
              <w:br/>
              <w:t>TEMIDAYO AFONJA</w:t>
            </w:r>
          </w:p>
        </w:tc>
      </w:tr>
      <w:tr>
        <w:tc>
          <w:tcPr>
            <w:tcW w:type="dxa" w:w="10166"/>
            <w:shd w:fill="FFFFFF"/>
            <w:tcBorders>
              <w:left w:val="single" w:sz="6" w:color="D9D1C4"/>
              <w:bottom w:val="single" w:sz="6" w:color="D9D1C4"/>
              <w:right w:val="single" w:sz="6" w:color="D9D1C4"/>
            </w:tcBorders>
            <w:tcMar>
              <w:top w:w="100" w:type="dxa"/>
              <w:start w:w="180" w:type="dxa"/>
              <w:bottom w:w="100" w:type="dxa"/>
              <w:end w:w="180" w:type="dxa"/>
            </w:tcMar>
          </w:tcPr>
          <w:p>
            <w:r>
              <w:rPr>
                <w:rFonts w:ascii="Inter" w:hAnsi="Inter"/>
                <w:i/>
                <w:color w:val="6A7280"/>
                <w:sz w:val="18"/>
              </w:rPr>
              <w:t>Use a warm cream background (#F5F0E8), your executive headshot on the right, deep navy typography (#0F2347), muted-gold details (#C9A84C), restrained rust (#C1440E), subtle vertical lines, and the canonical 2x2 Capability Formation mark. Do not include “1-DAY WORKSHOP.” Do not place the full workshop title inside the hero image.</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SOCIAL-SHARE IMAGE COPY</w:t>
            </w:r>
          </w:p>
          <w:p>
            <w:pPr>
              <w:spacing w:before="40" w:after="0"/>
            </w:pPr>
            <w:r>
              <w:rPr>
                <w:rFonts w:ascii="Inter" w:hAnsi="Inter"/>
                <w:color w:val="0F2347"/>
                <w:sz w:val="22"/>
              </w:rPr>
              <w:t>Decide Whether to Stay or Leave Your Job</w:t>
              <w:br/>
              <w:t>A Live Career Growth Assessment</w:t>
              <w:br/>
              <w:t>The Capability Position Read</w:t>
              <w:br/>
              <w:t>Temidayo Afonja</w:t>
            </w:r>
          </w:p>
        </w:tc>
      </w:tr>
      <w:tr>
        <w:tc>
          <w:tcPr>
            <w:tcW w:type="dxa" w:w="10166"/>
            <w:shd w:fill="FFFFFF"/>
            <w:tcBorders>
              <w:left w:val="single" w:sz="6" w:color="D9D1C4"/>
              <w:bottom w:val="single" w:sz="6" w:color="D9D1C4"/>
              <w:right w:val="single" w:sz="6" w:color="D9D1C4"/>
            </w:tcBorders>
            <w:tcMar>
              <w:top w:w="100" w:type="dxa"/>
              <w:start w:w="180" w:type="dxa"/>
              <w:bottom w:w="100" w:type="dxa"/>
              <w:end w:w="180" w:type="dxa"/>
            </w:tcMar>
          </w:tcPr>
          <w:p>
            <w:r>
              <w:rPr>
                <w:rFonts w:ascii="Inter" w:hAnsi="Inter"/>
                <w:i/>
                <w:color w:val="6A7280"/>
                <w:sz w:val="18"/>
              </w:rPr>
              <w:t>The social-share image can carry the full title because it must communicate independently outside Maven.</w:t>
            </w:r>
          </w:p>
        </w:tc>
      </w:tr>
    </w:tbl>
    <w:p>
      <w:pPr>
        <w:spacing w:after="20"/>
      </w:pPr>
    </w:p>
    <w:p>
      <w:pPr>
        <w:spacing w:before="160" w:after="80"/>
        <w:keepNext/>
      </w:pPr>
      <w:r>
        <w:rPr>
          <w:rFonts w:ascii="Inter" w:hAnsi="Inter"/>
          <w:b/>
          <w:color w:val="C1440E"/>
          <w:sz w:val="26"/>
        </w:rPr>
        <w:t>One-sentence workshop description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USE BENEATH THE HERO OR IN A SUMMARY FIELD</w:t>
            </w:r>
          </w:p>
          <w:p>
            <w:pPr>
              <w:spacing w:before="40" w:after="0"/>
            </w:pPr>
            <w:r>
              <w:rPr>
                <w:rFonts w:ascii="Inter" w:hAnsi="Inter"/>
                <w:color w:val="0F2347"/>
                <w:sz w:val="22"/>
              </w:rPr>
              <w:t>Evaluate whether your current role is still building valuable capability, then choose an evidence-based next move: stay and compound, reshape the role, rebuild your options, or prepare to leave.</w:t>
            </w:r>
          </w:p>
        </w:tc>
      </w:tr>
    </w:tbl>
    <w:p>
      <w:pPr>
        <w:spacing w:after="20"/>
      </w:pPr>
    </w:p>
    <w:p>
      <w:pPr>
        <w:spacing w:before="240" w:after="60"/>
        <w:keepNext/>
      </w:pPr>
      <w:r>
        <w:rPr>
          <w:rFonts w:ascii="DejaVu Serif" w:hAnsi="DejaVu Serif"/>
          <w:b/>
          <w:color w:val="0F2347"/>
          <w:sz w:val="40"/>
        </w:rPr>
        <w:t>5. Paid Workshop: Main Landing Page Copy</w:t>
      </w:r>
    </w:p>
    <w:p>
      <w:pPr>
        <w:spacing w:after="160"/>
      </w:pPr>
      <w:r>
        <w:rPr>
          <w:rFonts w:ascii="Inter" w:hAnsi="Inter"/>
          <w:color w:val="6A7280"/>
          <w:sz w:val="20"/>
        </w:rPr>
        <w:t>Copy-ready overview and transformation language.</w:t>
      </w:r>
    </w:p>
    <w:p>
      <w:pPr>
        <w:spacing w:before="160" w:after="80"/>
        <w:keepNext/>
      </w:pPr>
      <w:r>
        <w:rPr>
          <w:rFonts w:ascii="Inter" w:hAnsi="Inter"/>
          <w:b/>
          <w:color w:val="C1440E"/>
          <w:sz w:val="26"/>
        </w:rPr>
        <w:t>Primary page headline</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SECTION HEADING</w:t>
            </w:r>
          </w:p>
          <w:p>
            <w:pPr>
              <w:spacing w:before="40" w:after="0"/>
            </w:pPr>
            <w:r>
              <w:rPr>
                <w:rFonts w:ascii="Inter" w:hAnsi="Inter"/>
                <w:color w:val="0F2347"/>
                <w:sz w:val="22"/>
              </w:rPr>
              <w:t>See What Your Current Role Is Building Before You Decide What Comes Next</w:t>
            </w:r>
          </w:p>
        </w:tc>
      </w:tr>
    </w:tbl>
    <w:p>
      <w:pPr>
        <w:spacing w:after="20"/>
      </w:pPr>
    </w:p>
    <w:p>
      <w:pPr>
        <w:spacing w:before="160" w:after="80"/>
        <w:keepNext/>
      </w:pPr>
      <w:r>
        <w:rPr>
          <w:rFonts w:ascii="Inter" w:hAnsi="Inter"/>
          <w:b/>
          <w:color w:val="C1440E"/>
          <w:sz w:val="26"/>
        </w:rPr>
        <w:t>Overview copy</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PASTE INTO THE MAIN OVERVIEW SECTION</w:t>
            </w:r>
          </w:p>
          <w:p>
            <w:pPr>
              <w:spacing w:before="40" w:after="0"/>
            </w:pPr>
            <w:r>
              <w:rPr>
                <w:rFonts w:ascii="Inter" w:hAnsi="Inter"/>
                <w:color w:val="0F2347"/>
                <w:sz w:val="22"/>
              </w:rPr>
              <w:t>Capable professionals do not always recognize career stagnation when it begins.</w:t>
              <w:br/>
              <w:br/>
              <w:t>A role may still reward you, rely on you, and keep you busy while gradually narrowing the capabilities and options you are building. At the same time, a difficult quarter, a demanding manager, or a temporary loss of motivation does not automatically mean you should leave.</w:t>
              <w:br/>
              <w:br/>
              <w:t>This workshop gives you a more reliable basis for deciding.</w:t>
              <w:br/>
              <w:br/>
              <w:t>During the live session, you will complete the 12-statement Capability Position Read, test your answers against evidence from your actual work, correct your initial score, and locate your provisional position across the Four States of Capability Formation.</w:t>
              <w:br/>
              <w:br/>
              <w:t>You will then translate that result into a practical category of move: stay and continue compounding, reshape the role, rebuild external options while you remain, prepare intentionally to leave, or seek an external perspective when the evidence is incomplete.</w:t>
              <w:br/>
              <w:br/>
              <w:t>You will not be told what choice to make. You will leave with a clearer view of what your work is forming, what may be at risk, and what evidence should guide your decision.</w:t>
              <w:br/>
              <w:br/>
              <w:t>This is not a personality quiz or a general conversation about job satisfaction. It is a structured assessment of your current career position.</w:t>
            </w:r>
          </w:p>
        </w:tc>
      </w:tr>
    </w:tbl>
    <w:p>
      <w:pPr>
        <w:spacing w:after="20"/>
      </w:pPr>
    </w:p>
    <w:p>
      <w:pPr>
        <w:spacing w:before="160" w:after="80"/>
        <w:keepNext/>
      </w:pPr>
      <w:r>
        <w:rPr>
          <w:rFonts w:ascii="Inter" w:hAnsi="Inter"/>
          <w:b/>
          <w:color w:val="C1440E"/>
          <w:sz w:val="26"/>
        </w:rPr>
        <w:t>What you will learn - introduction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INTRODUCTORY LINE</w:t>
            </w:r>
          </w:p>
          <w:p>
            <w:pPr>
              <w:spacing w:before="40" w:after="0"/>
            </w:pPr>
            <w:r>
              <w:rPr>
                <w:rFonts w:ascii="Inter" w:hAnsi="Inter"/>
                <w:color w:val="0F2347"/>
                <w:sz w:val="22"/>
              </w:rPr>
              <w:t>Separate job satisfaction from capability growth and make a career decision you can explain with evidence.</w:t>
            </w:r>
          </w:p>
        </w:tc>
      </w:tr>
    </w:tbl>
    <w:p>
      <w:pPr>
        <w:spacing w:after="20"/>
      </w:pPr>
    </w:p>
    <w:p>
      <w:pPr>
        <w:spacing w:before="160" w:after="80"/>
        <w:keepNext/>
      </w:pPr>
      <w:r>
        <w:rPr>
          <w:rFonts w:ascii="Inter" w:hAnsi="Inter"/>
          <w:b/>
          <w:color w:val="C1440E"/>
          <w:sz w:val="26"/>
        </w:rPr>
        <w:t>Outcome block 1</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HEADING</w:t>
            </w:r>
          </w:p>
          <w:p>
            <w:pPr>
              <w:spacing w:before="40" w:after="0"/>
            </w:pPr>
            <w:r>
              <w:rPr>
                <w:rFonts w:ascii="Inter" w:hAnsi="Inter"/>
                <w:color w:val="0F2347"/>
                <w:sz w:val="22"/>
              </w:rPr>
              <w:t>Evaluate What Your Current Role Is Actually Building</w:t>
            </w:r>
          </w:p>
        </w:tc>
      </w:tr>
    </w:tbl>
    <w:p>
      <w:pPr>
        <w:spacing w:after="20"/>
      </w:pPr>
    </w:p>
    <w:p>
      <w:pPr>
        <w:pStyle w:val="ListBullet"/>
        <w:spacing w:after="60"/>
      </w:pPr>
      <w:r>
        <w:rPr>
          <w:rFonts w:ascii="Inter" w:hAnsi="Inter"/>
          <w:color w:val="111111"/>
          <w:sz w:val="20"/>
        </w:rPr>
        <w:t>Complete 12 statements using evidence from your recent work.</w:t>
      </w:r>
    </w:p>
    <w:p>
      <w:pPr>
        <w:pStyle w:val="ListBullet"/>
        <w:spacing w:after="60"/>
      </w:pPr>
      <w:r>
        <w:rPr>
          <w:rFonts w:ascii="Inter" w:hAnsi="Inter"/>
          <w:color w:val="111111"/>
          <w:sz w:val="20"/>
        </w:rPr>
        <w:t>Separate strong performance from transferable capability growth.</w:t>
      </w:r>
    </w:p>
    <w:p>
      <w:pPr>
        <w:pStyle w:val="ListBullet"/>
        <w:spacing w:after="60"/>
      </w:pPr>
      <w:r>
        <w:rPr>
          <w:rFonts w:ascii="Inter" w:hAnsi="Inter"/>
          <w:color w:val="111111"/>
          <w:sz w:val="20"/>
        </w:rPr>
        <w:t>Identify where your role is expanding or narrowing your skills, judgment, relationships, and future options.</w:t>
      </w:r>
    </w:p>
    <w:p>
      <w:pPr>
        <w:spacing w:before="160" w:after="80"/>
        <w:keepNext/>
      </w:pPr>
      <w:r>
        <w:rPr>
          <w:rFonts w:ascii="Inter" w:hAnsi="Inter"/>
          <w:b/>
          <w:color w:val="C1440E"/>
          <w:sz w:val="26"/>
        </w:rPr>
        <w:t>Outcome block 2</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HEADING</w:t>
            </w:r>
          </w:p>
          <w:p>
            <w:pPr>
              <w:spacing w:before="40" w:after="0"/>
            </w:pPr>
            <w:r>
              <w:rPr>
                <w:rFonts w:ascii="Inter" w:hAnsi="Inter"/>
                <w:color w:val="0F2347"/>
                <w:sz w:val="22"/>
              </w:rPr>
              <w:t>Correct the Assumptions That Distort Career Decisions</w:t>
            </w:r>
          </w:p>
        </w:tc>
      </w:tr>
    </w:tbl>
    <w:p>
      <w:pPr>
        <w:spacing w:after="20"/>
      </w:pPr>
    </w:p>
    <w:p>
      <w:pPr>
        <w:pStyle w:val="ListBullet"/>
        <w:spacing w:after="60"/>
      </w:pPr>
      <w:r>
        <w:rPr>
          <w:rFonts w:ascii="Inter" w:hAnsi="Inter"/>
          <w:color w:val="111111"/>
          <w:sz w:val="20"/>
        </w:rPr>
        <w:t>Test your initial responses against specific examples.</w:t>
      </w:r>
    </w:p>
    <w:p>
      <w:pPr>
        <w:pStyle w:val="ListBullet"/>
        <w:spacing w:after="60"/>
      </w:pPr>
      <w:r>
        <w:rPr>
          <w:rFonts w:ascii="Inter" w:hAnsi="Inter"/>
          <w:color w:val="111111"/>
          <w:sz w:val="20"/>
        </w:rPr>
        <w:t>Identify where title, tenure, praise, or indispensability may be inflating your assessment.</w:t>
      </w:r>
    </w:p>
    <w:p>
      <w:pPr>
        <w:pStyle w:val="ListBullet"/>
        <w:spacing w:after="60"/>
      </w:pPr>
      <w:r>
        <w:rPr>
          <w:rFonts w:ascii="Inter" w:hAnsi="Inter"/>
          <w:color w:val="111111"/>
          <w:sz w:val="20"/>
        </w:rPr>
        <w:t>Distinguish a temporary difficult season from a more structural capability problem.</w:t>
      </w:r>
    </w:p>
    <w:p>
      <w:pPr>
        <w:spacing w:before="160" w:after="80"/>
        <w:keepNext/>
      </w:pPr>
      <w:r>
        <w:rPr>
          <w:rFonts w:ascii="Inter" w:hAnsi="Inter"/>
          <w:b/>
          <w:color w:val="C1440E"/>
          <w:sz w:val="26"/>
        </w:rPr>
        <w:t>Outcome block 3</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HEADING</w:t>
            </w:r>
          </w:p>
          <w:p>
            <w:pPr>
              <w:spacing w:before="40" w:after="0"/>
            </w:pPr>
            <w:r>
              <w:rPr>
                <w:rFonts w:ascii="Inter" w:hAnsi="Inter"/>
                <w:color w:val="0F2347"/>
                <w:sz w:val="22"/>
              </w:rPr>
              <w:t>Locate Your Provisional Career State</w:t>
            </w:r>
          </w:p>
        </w:tc>
      </w:tr>
    </w:tbl>
    <w:p>
      <w:pPr>
        <w:spacing w:after="20"/>
      </w:pPr>
    </w:p>
    <w:p>
      <w:pPr>
        <w:pStyle w:val="ListBullet"/>
        <w:spacing w:after="60"/>
      </w:pPr>
      <w:r>
        <w:rPr>
          <w:rFonts w:ascii="Inter" w:hAnsi="Inter"/>
          <w:color w:val="111111"/>
          <w:sz w:val="20"/>
        </w:rPr>
        <w:t>Interpret your position across Compounding, Depth Trap, Stagnant, and Fragile.</w:t>
      </w:r>
    </w:p>
    <w:p>
      <w:pPr>
        <w:pStyle w:val="ListBullet"/>
        <w:spacing w:after="60"/>
      </w:pPr>
      <w:r>
        <w:rPr>
          <w:rFonts w:ascii="Inter" w:hAnsi="Inter"/>
          <w:color w:val="111111"/>
          <w:sz w:val="20"/>
        </w:rPr>
        <w:t>See how Density and Optionality interact in your current role.</w:t>
      </w:r>
    </w:p>
    <w:p>
      <w:pPr>
        <w:pStyle w:val="ListBullet"/>
        <w:spacing w:after="60"/>
      </w:pPr>
      <w:r>
        <w:rPr>
          <w:rFonts w:ascii="Inter" w:hAnsi="Inter"/>
          <w:color w:val="111111"/>
          <w:sz w:val="20"/>
        </w:rPr>
        <w:t>Understand the exposure associated with your position without treating the result as a permanent identity.</w:t>
      </w:r>
    </w:p>
    <w:p>
      <w:pPr>
        <w:spacing w:before="160" w:after="80"/>
        <w:keepNext/>
      </w:pPr>
      <w:r>
        <w:rPr>
          <w:rFonts w:ascii="Inter" w:hAnsi="Inter"/>
          <w:b/>
          <w:color w:val="C1440E"/>
          <w:sz w:val="26"/>
        </w:rPr>
        <w:t>Outcome block 4</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HEADING</w:t>
            </w:r>
          </w:p>
          <w:p>
            <w:pPr>
              <w:spacing w:before="40" w:after="0"/>
            </w:pPr>
            <w:r>
              <w:rPr>
                <w:rFonts w:ascii="Inter" w:hAnsi="Inter"/>
                <w:color w:val="0F2347"/>
                <w:sz w:val="22"/>
              </w:rPr>
              <w:t>Choose an Evidence-Based Next Move</w:t>
            </w:r>
          </w:p>
        </w:tc>
      </w:tr>
    </w:tbl>
    <w:p>
      <w:pPr>
        <w:spacing w:after="20"/>
      </w:pPr>
    </w:p>
    <w:p>
      <w:pPr>
        <w:pStyle w:val="ListBullet"/>
        <w:spacing w:after="60"/>
      </w:pPr>
      <w:r>
        <w:rPr>
          <w:rFonts w:ascii="Inter" w:hAnsi="Inter"/>
          <w:color w:val="111111"/>
          <w:sz w:val="20"/>
        </w:rPr>
        <w:t>Decide which category of move your evidence supports testing.</w:t>
      </w:r>
    </w:p>
    <w:p>
      <w:pPr>
        <w:pStyle w:val="ListBullet"/>
        <w:spacing w:after="60"/>
      </w:pPr>
      <w:r>
        <w:rPr>
          <w:rFonts w:ascii="Inter" w:hAnsi="Inter"/>
          <w:color w:val="111111"/>
          <w:sz w:val="20"/>
        </w:rPr>
        <w:t>Select one concrete action to take during the next 30 days.</w:t>
      </w:r>
    </w:p>
    <w:p>
      <w:pPr>
        <w:pStyle w:val="ListBullet"/>
        <w:spacing w:after="60"/>
      </w:pPr>
      <w:r>
        <w:rPr>
          <w:rFonts w:ascii="Inter" w:hAnsi="Inter"/>
          <w:color w:val="111111"/>
          <w:sz w:val="20"/>
        </w:rPr>
        <w:t>Identify what evidence would cause you to revise the decision.</w:t>
      </w:r>
    </w:p>
    <w:p>
      <w:pPr>
        <w:spacing w:before="240" w:after="60"/>
        <w:keepNext/>
      </w:pPr>
      <w:r>
        <w:rPr>
          <w:rFonts w:ascii="DejaVu Serif" w:hAnsi="DejaVu Serif"/>
          <w:b/>
          <w:color w:val="0F2347"/>
          <w:sz w:val="40"/>
        </w:rPr>
        <w:t>6. Paid Workshop: Deliverables, Audience, and Format</w:t>
      </w:r>
    </w:p>
    <w:p>
      <w:pPr>
        <w:spacing w:after="160"/>
      </w:pPr>
      <w:r>
        <w:rPr>
          <w:rFonts w:ascii="Inter" w:hAnsi="Inter"/>
          <w:color w:val="6A7280"/>
          <w:sz w:val="20"/>
        </w:rPr>
        <w:t>The sections that establish value and qualify the right participants.</w:t>
      </w:r>
    </w:p>
    <w:p>
      <w:pPr>
        <w:spacing w:before="160" w:after="80"/>
        <w:keepNext/>
      </w:pPr>
      <w:r>
        <w:rPr>
          <w:rFonts w:ascii="Inter" w:hAnsi="Inter"/>
          <w:b/>
          <w:color w:val="C1440E"/>
          <w:sz w:val="26"/>
        </w:rPr>
        <w:t>What participants leave with</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SECTION HEADING</w:t>
            </w:r>
          </w:p>
          <w:p>
            <w:pPr>
              <w:spacing w:before="40" w:after="0"/>
            </w:pPr>
            <w:r>
              <w:rPr>
                <w:rFonts w:ascii="Inter" w:hAnsi="Inter"/>
                <w:color w:val="0F2347"/>
                <w:sz w:val="22"/>
              </w:rPr>
              <w:t>Leave With More Than a Score</w:t>
            </w:r>
          </w:p>
        </w:tc>
      </w:tr>
    </w:tbl>
    <w:p>
      <w:pPr>
        <w:spacing w:after="20"/>
      </w:pPr>
    </w:p>
    <w:p>
      <w:pPr>
        <w:pStyle w:val="ListBullet"/>
        <w:spacing w:after="60"/>
      </w:pPr>
      <w:r>
        <w:rPr>
          <w:rFonts w:ascii="Inter" w:hAnsi="Inter"/>
          <w:color w:val="111111"/>
          <w:sz w:val="20"/>
        </w:rPr>
        <w:t>A completed 12-statement Capability Position Read</w:t>
      </w:r>
    </w:p>
    <w:p>
      <w:pPr>
        <w:pStyle w:val="ListBullet"/>
        <w:spacing w:after="60"/>
      </w:pPr>
      <w:r>
        <w:rPr>
          <w:rFonts w:ascii="Inter" w:hAnsi="Inter"/>
          <w:color w:val="111111"/>
          <w:sz w:val="20"/>
        </w:rPr>
        <w:t>An initial and evidence-backed second reading</w:t>
      </w:r>
    </w:p>
    <w:p>
      <w:pPr>
        <w:pStyle w:val="ListBullet"/>
        <w:spacing w:after="60"/>
      </w:pPr>
      <w:r>
        <w:rPr>
          <w:rFonts w:ascii="Inter" w:hAnsi="Inter"/>
          <w:color w:val="111111"/>
          <w:sz w:val="20"/>
        </w:rPr>
        <w:t>Corrected Density and Optionality totals</w:t>
      </w:r>
    </w:p>
    <w:p>
      <w:pPr>
        <w:pStyle w:val="ListBullet"/>
        <w:spacing w:after="60"/>
      </w:pPr>
      <w:r>
        <w:rPr>
          <w:rFonts w:ascii="Inter" w:hAnsi="Inter"/>
          <w:color w:val="111111"/>
          <w:sz w:val="20"/>
        </w:rPr>
        <w:t>A provisional Four States placement or boundary reading</w:t>
      </w:r>
    </w:p>
    <w:p>
      <w:pPr>
        <w:pStyle w:val="ListBullet"/>
        <w:spacing w:after="60"/>
      </w:pPr>
      <w:r>
        <w:rPr>
          <w:rFonts w:ascii="Inter" w:hAnsi="Inter"/>
          <w:color w:val="111111"/>
          <w:sz w:val="20"/>
        </w:rPr>
        <w:t>A written Next-Move Decision</w:t>
      </w:r>
    </w:p>
    <w:p>
      <w:pPr>
        <w:pStyle w:val="ListBullet"/>
        <w:spacing w:after="60"/>
      </w:pPr>
      <w:r>
        <w:rPr>
          <w:rFonts w:ascii="Inter" w:hAnsi="Inter"/>
          <w:color w:val="111111"/>
          <w:sz w:val="20"/>
        </w:rPr>
        <w:t>The Capability Formation Field Kit</w:t>
      </w:r>
    </w:p>
    <w:p>
      <w:pPr>
        <w:pStyle w:val="ListBullet"/>
        <w:spacing w:after="60"/>
      </w:pPr>
      <w:r>
        <w:rPr>
          <w:rFonts w:ascii="Inter" w:hAnsi="Inter"/>
          <w:color w:val="111111"/>
          <w:sz w:val="20"/>
        </w:rPr>
        <w:t>A 30-day evidence follow-up</w:t>
      </w:r>
    </w:p>
    <w:p>
      <w:pPr>
        <w:pStyle w:val="ListBullet"/>
        <w:spacing w:after="60"/>
      </w:pPr>
      <w:r>
        <w:rPr>
          <w:rFonts w:ascii="Inter" w:hAnsi="Inter"/>
          <w:color w:val="111111"/>
          <w:sz w:val="20"/>
        </w:rPr>
        <w:t>A 90-day rescore reminder</w:t>
      </w:r>
    </w:p>
    <w:p>
      <w:pPr>
        <w:spacing w:before="160" w:after="80"/>
        <w:keepNext/>
      </w:pPr>
      <w:r>
        <w:rPr>
          <w:rFonts w:ascii="Inter" w:hAnsi="Inter"/>
          <w:b/>
          <w:color w:val="C1440E"/>
          <w:sz w:val="26"/>
        </w:rPr>
        <w:t>Who this workshop is for</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SECTION HEADING</w:t>
            </w:r>
          </w:p>
          <w:p>
            <w:pPr>
              <w:spacing w:before="40" w:after="0"/>
            </w:pPr>
            <w:r>
              <w:rPr>
                <w:rFonts w:ascii="Inter" w:hAnsi="Inter"/>
                <w:color w:val="0F2347"/>
                <w:sz w:val="22"/>
              </w:rPr>
              <w:t>This Workshop Is Designed for You If…</w:t>
            </w:r>
          </w:p>
        </w:tc>
      </w:tr>
    </w:tbl>
    <w:p>
      <w:pPr>
        <w:spacing w:after="20"/>
      </w:pPr>
    </w:p>
    <w:p>
      <w:pPr>
        <w:pStyle w:val="ListBullet"/>
        <w:spacing w:after="60"/>
      </w:pPr>
      <w:r>
        <w:rPr>
          <w:rFonts w:ascii="Inter" w:hAnsi="Inter"/>
          <w:color w:val="111111"/>
          <w:sz w:val="20"/>
        </w:rPr>
        <w:t>You are a mid-career or senior professional who is performing well but is no longer certain that your role is helping you grow.</w:t>
      </w:r>
    </w:p>
    <w:p>
      <w:pPr>
        <w:pStyle w:val="ListBullet"/>
        <w:spacing w:after="60"/>
      </w:pPr>
      <w:r>
        <w:rPr>
          <w:rFonts w:ascii="Inter" w:hAnsi="Inter"/>
          <w:color w:val="111111"/>
          <w:sz w:val="20"/>
        </w:rPr>
        <w:t>You are deciding whether to remain in your current role or begin exploring.</w:t>
      </w:r>
    </w:p>
    <w:p>
      <w:pPr>
        <w:pStyle w:val="ListBullet"/>
        <w:spacing w:after="60"/>
      </w:pPr>
      <w:r>
        <w:rPr>
          <w:rFonts w:ascii="Inter" w:hAnsi="Inter"/>
          <w:color w:val="111111"/>
          <w:sz w:val="20"/>
        </w:rPr>
        <w:t>You are heavily relied upon but unsure whether your value is portable.</w:t>
      </w:r>
    </w:p>
    <w:p>
      <w:pPr>
        <w:pStyle w:val="ListBullet"/>
        <w:spacing w:after="60"/>
      </w:pPr>
      <w:r>
        <w:rPr>
          <w:rFonts w:ascii="Inter" w:hAnsi="Inter"/>
          <w:color w:val="111111"/>
          <w:sz w:val="20"/>
        </w:rPr>
        <w:t>You are carrying greater responsibility without developing meaningfully different capability.</w:t>
      </w:r>
    </w:p>
    <w:p>
      <w:pPr>
        <w:pStyle w:val="ListBullet"/>
        <w:spacing w:after="60"/>
      </w:pPr>
      <w:r>
        <w:rPr>
          <w:rFonts w:ascii="Inter" w:hAnsi="Inter"/>
          <w:color w:val="111111"/>
          <w:sz w:val="20"/>
        </w:rPr>
        <w:t>You are experiencing role drift, reorganization, reduced learning, or repeated work.</w:t>
      </w:r>
    </w:p>
    <w:p>
      <w:pPr>
        <w:pStyle w:val="ListBullet"/>
        <w:spacing w:after="60"/>
      </w:pPr>
      <w:r>
        <w:rPr>
          <w:rFonts w:ascii="Inter" w:hAnsi="Inter"/>
          <w:color w:val="111111"/>
          <w:sz w:val="20"/>
        </w:rPr>
        <w:t>You are considering an internal move but are unsure whether it would solve the underlying problem.</w:t>
      </w:r>
    </w:p>
    <w:p>
      <w:pPr>
        <w:pStyle w:val="ListBullet"/>
        <w:spacing w:after="60"/>
      </w:pPr>
      <w:r>
        <w:rPr>
          <w:rFonts w:ascii="Inter" w:hAnsi="Inter"/>
          <w:color w:val="111111"/>
          <w:sz w:val="20"/>
        </w:rPr>
        <w:t>You do not want to leave a stable position without stronger evidence.</w:t>
      </w:r>
    </w:p>
    <w:p>
      <w:pPr>
        <w:spacing w:before="160" w:after="80"/>
        <w:keepNext/>
      </w:pPr>
      <w:r>
        <w:rPr>
          <w:rFonts w:ascii="Inter" w:hAnsi="Inter"/>
          <w:b/>
          <w:color w:val="C1440E"/>
          <w:sz w:val="26"/>
        </w:rPr>
        <w:t>Who it is not for</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SECTION HEADING</w:t>
            </w:r>
          </w:p>
          <w:p>
            <w:pPr>
              <w:spacing w:before="40" w:after="0"/>
            </w:pPr>
            <w:r>
              <w:rPr>
                <w:rFonts w:ascii="Inter" w:hAnsi="Inter"/>
                <w:color w:val="0F2347"/>
                <w:sz w:val="22"/>
              </w:rPr>
              <w:t>This Is Probably Not the Right Workshop If…</w:t>
            </w:r>
          </w:p>
        </w:tc>
      </w:tr>
    </w:tbl>
    <w:p>
      <w:pPr>
        <w:spacing w:after="20"/>
      </w:pPr>
    </w:p>
    <w:p>
      <w:pPr>
        <w:pStyle w:val="ListBullet"/>
        <w:spacing w:after="60"/>
      </w:pPr>
      <w:r>
        <w:rPr>
          <w:rFonts w:ascii="Inter" w:hAnsi="Inter"/>
          <w:color w:val="111111"/>
          <w:sz w:val="20"/>
        </w:rPr>
        <w:t>You mainly want résumé or LinkedIn-profile revision.</w:t>
      </w:r>
    </w:p>
    <w:p>
      <w:pPr>
        <w:pStyle w:val="ListBullet"/>
        <w:spacing w:after="60"/>
      </w:pPr>
      <w:r>
        <w:rPr>
          <w:rFonts w:ascii="Inter" w:hAnsi="Inter"/>
          <w:color w:val="111111"/>
          <w:sz w:val="20"/>
        </w:rPr>
        <w:t>You need interviewing, job-search, or salary-negotiation tactics.</w:t>
      </w:r>
    </w:p>
    <w:p>
      <w:pPr>
        <w:pStyle w:val="ListBullet"/>
        <w:spacing w:after="60"/>
      </w:pPr>
      <w:r>
        <w:rPr>
          <w:rFonts w:ascii="Inter" w:hAnsi="Inter"/>
          <w:color w:val="111111"/>
          <w:sz w:val="20"/>
        </w:rPr>
        <w:t>You want an instant answer telling you to quit.</w:t>
      </w:r>
    </w:p>
    <w:p>
      <w:pPr>
        <w:pStyle w:val="ListBullet"/>
        <w:spacing w:after="60"/>
      </w:pPr>
      <w:r>
        <w:rPr>
          <w:rFonts w:ascii="Inter" w:hAnsi="Inter"/>
          <w:color w:val="111111"/>
          <w:sz w:val="20"/>
        </w:rPr>
        <w:t>You are seeking legal, financial, immigration, compensation, medical, or mental-health advice.</w:t>
      </w:r>
    </w:p>
    <w:p>
      <w:pPr>
        <w:spacing w:before="160" w:after="80"/>
        <w:keepNext/>
      </w:pPr>
      <w:r>
        <w:rPr>
          <w:rFonts w:ascii="Inter" w:hAnsi="Inter"/>
          <w:b/>
          <w:color w:val="C1440E"/>
          <w:sz w:val="26"/>
        </w:rPr>
        <w:t>Format section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SECTION HEADING</w:t>
            </w:r>
          </w:p>
          <w:p>
            <w:pPr>
              <w:spacing w:before="40" w:after="0"/>
            </w:pPr>
            <w:r>
              <w:rPr>
                <w:rFonts w:ascii="Inter" w:hAnsi="Inter"/>
                <w:color w:val="0F2347"/>
                <w:sz w:val="22"/>
              </w:rPr>
              <w:t>A Two-Hour Live, Guided Career Growth Assessment</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FORMAT DESCRIPTION</w:t>
            </w:r>
          </w:p>
          <w:p>
            <w:pPr>
              <w:spacing w:before="40" w:after="0"/>
            </w:pPr>
            <w:r>
              <w:rPr>
                <w:rFonts w:ascii="Inter" w:hAnsi="Inter"/>
                <w:color w:val="0F2347"/>
                <w:sz w:val="22"/>
              </w:rPr>
              <w:t>This is not a webinar that participants watch passively. You will score, review evidence, correct your responses, interpret your placement, and write a Next-Move Decision during the session. The workshop includes a 105-minute guided Capability Position Read and 15 minutes for Q&amp;A and practical applications.</w:t>
            </w:r>
          </w:p>
        </w:tc>
      </w:tr>
    </w:tbl>
    <w:p>
      <w:pPr>
        <w:spacing w:after="20"/>
      </w:pPr>
    </w:p>
    <w:p>
      <w:pPr>
        <w:spacing w:before="160" w:after="80"/>
        <w:keepNext/>
      </w:pPr>
      <w:r>
        <w:rPr>
          <w:rFonts w:ascii="Inter" w:hAnsi="Inter"/>
          <w:b/>
          <w:color w:val="C1440E"/>
          <w:sz w:val="26"/>
        </w:rPr>
        <w:t>What to bring</w:t>
      </w:r>
    </w:p>
    <w:p>
      <w:pPr>
        <w:pStyle w:val="ListBullet"/>
        <w:spacing w:after="60"/>
      </w:pPr>
      <w:r>
        <w:rPr>
          <w:rFonts w:ascii="Inter" w:hAnsi="Inter"/>
          <w:color w:val="111111"/>
          <w:sz w:val="20"/>
        </w:rPr>
        <w:t>Your current job description, if available</w:t>
      </w:r>
    </w:p>
    <w:p>
      <w:pPr>
        <w:pStyle w:val="ListBullet"/>
        <w:spacing w:after="60"/>
      </w:pPr>
      <w:r>
        <w:rPr>
          <w:rFonts w:ascii="Inter" w:hAnsi="Inter"/>
          <w:color w:val="111111"/>
          <w:sz w:val="20"/>
        </w:rPr>
        <w:t>Examples of work completed during the previous six to twelve months</w:t>
      </w:r>
    </w:p>
    <w:p>
      <w:pPr>
        <w:pStyle w:val="ListBullet"/>
        <w:spacing w:after="60"/>
      </w:pPr>
      <w:r>
        <w:rPr>
          <w:rFonts w:ascii="Inter" w:hAnsi="Inter"/>
          <w:color w:val="111111"/>
          <w:sz w:val="20"/>
        </w:rPr>
        <w:t>Decisions you regularly make</w:t>
      </w:r>
    </w:p>
    <w:p>
      <w:pPr>
        <w:pStyle w:val="ListBullet"/>
        <w:spacing w:after="60"/>
      </w:pPr>
      <w:r>
        <w:rPr>
          <w:rFonts w:ascii="Inter" w:hAnsi="Inter"/>
          <w:color w:val="111111"/>
          <w:sz w:val="20"/>
        </w:rPr>
        <w:t>Skills and judgment you repeatedly use</w:t>
      </w:r>
    </w:p>
    <w:p>
      <w:pPr>
        <w:pStyle w:val="ListBullet"/>
        <w:spacing w:after="60"/>
      </w:pPr>
      <w:r>
        <w:rPr>
          <w:rFonts w:ascii="Inter" w:hAnsi="Inter"/>
          <w:color w:val="111111"/>
          <w:sz w:val="20"/>
        </w:rPr>
        <w:t>Evidence of who relies on you and why</w:t>
      </w:r>
    </w:p>
    <w:p>
      <w:pPr>
        <w:pStyle w:val="ListBullet"/>
        <w:spacing w:after="60"/>
      </w:pPr>
      <w:r>
        <w:rPr>
          <w:rFonts w:ascii="Inter" w:hAnsi="Inter"/>
          <w:color w:val="111111"/>
          <w:sz w:val="20"/>
        </w:rPr>
        <w:t>Examples of opportunities you could credibly pursue outside the current role</w:t>
      </w:r>
    </w:p>
    <w:p>
      <w:pPr>
        <w:spacing w:after="120" w:line="259" w:lineRule="auto"/>
      </w:pPr>
      <w:r>
        <w:rPr>
          <w:rFonts w:ascii="Inter" w:hAnsi="Inter"/>
          <w:color w:val="111111"/>
          <w:sz w:val="20"/>
        </w:rPr>
        <w:t>Participants do not need to disclose confidential employer information.</w:t>
      </w:r>
    </w:p>
    <w:p>
      <w:pPr>
        <w:spacing w:before="160" w:after="80"/>
        <w:keepNext/>
      </w:pPr>
      <w:r>
        <w:rPr>
          <w:rFonts w:ascii="Inter" w:hAnsi="Inter"/>
          <w:b/>
          <w:color w:val="C1440E"/>
          <w:sz w:val="26"/>
        </w:rPr>
        <w:t>105-minute guided core + 15-minute Q&amp;A</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Minutes</w:t>
            </w:r>
          </w:p>
        </w:tc>
        <w:tc>
          <w:tcPr>
            <w:tcW w:type="dxa" w:w="5083"/>
            <w:shd w:fill="0F2347"/>
            <w:tcMar>
              <w:top w:w="100" w:type="dxa"/>
              <w:start w:w="120" w:type="dxa"/>
              <w:bottom w:w="100" w:type="dxa"/>
              <w:end w:w="120" w:type="dxa"/>
            </w:tcMar>
          </w:tcPr>
          <w:p>
            <w:r>
              <w:rPr>
                <w:rFonts w:ascii="Inter" w:hAnsi="Inter"/>
                <w:b/>
                <w:color w:val="FFFFFF"/>
                <w:sz w:val="18"/>
              </w:rPr>
              <w:t>Segment</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0-8</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Opening, boundary, story, vantage, and reframe</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8-14</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Density, Optionality, and brief AI application</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14-24</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Full initial read and totals</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24-31</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Safety, matrix, first placement, and confidence</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31-33</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Release Part B</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33-48</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Evidence protocol and three misreadings</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48-64</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Full evidence-backed reread</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64-71</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Sensitivity check and corrected placement</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71-77</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What moved and what calibration means</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77-84</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State costs and personal cost reflection</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84-88</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Move categories and decision setup</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88-96</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Protected silent writing</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96-100</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Permissioned voluntary reads</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100-105</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Field Kit, follow-through, and close</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105-120</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Q&amp;A and optional applications</w:t>
            </w:r>
          </w:p>
        </w:tc>
      </w:tr>
    </w:tbl>
    <w:p>
      <w:pPr>
        <w:spacing w:after="20"/>
      </w:pPr>
    </w:p>
    <w:p>
      <w:pPr>
        <w:spacing w:before="240" w:after="60"/>
        <w:keepNext/>
      </w:pPr>
      <w:r>
        <w:rPr>
          <w:rFonts w:ascii="DejaVu Serif" w:hAnsi="DejaVu Serif"/>
          <w:b/>
          <w:color w:val="0F2347"/>
          <w:sz w:val="40"/>
        </w:rPr>
        <w:t>7. Paid Workshop: Instructor, Price, and FAQ</w:t>
      </w:r>
    </w:p>
    <w:p>
      <w:pPr>
        <w:spacing w:after="160"/>
      </w:pPr>
      <w:r>
        <w:rPr>
          <w:rFonts w:ascii="Inter" w:hAnsi="Inter"/>
          <w:color w:val="6A7280"/>
          <w:sz w:val="20"/>
        </w:rPr>
        <w:t>The credibility and conversion sections for the Maven page.</w:t>
      </w:r>
    </w:p>
    <w:p>
      <w:pPr>
        <w:spacing w:before="160" w:after="80"/>
        <w:keepNext/>
      </w:pPr>
      <w:r>
        <w:rPr>
          <w:rFonts w:ascii="Inter" w:hAnsi="Inter"/>
          <w:b/>
          <w:color w:val="C1440E"/>
          <w:sz w:val="26"/>
        </w:rPr>
        <w:t>Instructor section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SECTION HEADING</w:t>
            </w:r>
          </w:p>
          <w:p>
            <w:pPr>
              <w:spacing w:before="40" w:after="0"/>
            </w:pPr>
            <w:r>
              <w:rPr>
                <w:rFonts w:ascii="Inter" w:hAnsi="Inter"/>
                <w:color w:val="0F2347"/>
                <w:sz w:val="22"/>
              </w:rPr>
              <w:t>Learn Directly From Temidayo Afonja</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INSTRUCTOR BIOGRAPHY</w:t>
            </w:r>
          </w:p>
          <w:p>
            <w:pPr>
              <w:spacing w:before="40" w:after="0"/>
            </w:pPr>
            <w:r>
              <w:rPr>
                <w:rFonts w:ascii="Inter" w:hAnsi="Inter"/>
                <w:color w:val="0F2347"/>
                <w:sz w:val="22"/>
              </w:rPr>
              <w:t>Temidayo Afonja is an organizational capability strategist, founder of The Density Group, and author of The Capability Audit.</w:t>
              <w:br/>
              <w:br/>
              <w:t>Across 17 years in enterprise people strategy, she has worked in global consulting and enterprise leadership environments including PwC, Deloitte, EY, and Airship. Her work examines a question most career systems overlook: whether the work people perform is continuing to build the skills, judgment, relationships, and options they will need when conditions change.</w:t>
              <w:br/>
              <w:br/>
              <w:t>Temidayo created the Capability Formation framework and the Four States model to help professionals and organizations evaluate capability growth more precisely. Her approach combines organizational diagnosis, enterprise experience, and evidence-based career reflection.</w:t>
            </w:r>
          </w:p>
        </w:tc>
      </w:tr>
    </w:tbl>
    <w:p>
      <w:pPr>
        <w:spacing w:after="20"/>
      </w:pPr>
    </w:p>
    <w:p>
      <w:pPr>
        <w:pStyle w:val="ListBullet"/>
        <w:spacing w:after="60"/>
      </w:pPr>
      <w:r>
        <w:rPr>
          <w:rFonts w:ascii="Inter" w:hAnsi="Inter"/>
          <w:color w:val="111111"/>
          <w:sz w:val="20"/>
        </w:rPr>
        <w:t>Founder, The Density Group</w:t>
      </w:r>
    </w:p>
    <w:p>
      <w:pPr>
        <w:pStyle w:val="ListBullet"/>
        <w:spacing w:after="60"/>
      </w:pPr>
      <w:r>
        <w:rPr>
          <w:rFonts w:ascii="Inter" w:hAnsi="Inter"/>
          <w:color w:val="111111"/>
          <w:sz w:val="20"/>
        </w:rPr>
        <w:t>Author, The Capability Audit</w:t>
      </w:r>
    </w:p>
    <w:p>
      <w:pPr>
        <w:pStyle w:val="ListBullet"/>
        <w:spacing w:after="60"/>
      </w:pPr>
      <w:r>
        <w:rPr>
          <w:rFonts w:ascii="Inter" w:hAnsi="Inter"/>
          <w:color w:val="111111"/>
          <w:sz w:val="20"/>
        </w:rPr>
        <w:t>Creator, Capability Formation and the Four States framework</w:t>
      </w:r>
    </w:p>
    <w:p>
      <w:pPr>
        <w:pStyle w:val="ListBullet"/>
        <w:spacing w:after="60"/>
      </w:pPr>
      <w:r>
        <w:rPr>
          <w:rFonts w:ascii="Inter" w:hAnsi="Inter"/>
          <w:color w:val="111111"/>
          <w:sz w:val="20"/>
        </w:rPr>
        <w:t>17 years in enterprise people strategy</w:t>
      </w:r>
    </w:p>
    <w:p>
      <w:pPr>
        <w:pStyle w:val="ListBullet"/>
        <w:spacing w:after="60"/>
      </w:pPr>
      <w:r>
        <w:rPr>
          <w:rFonts w:ascii="Inter" w:hAnsi="Inter"/>
          <w:color w:val="111111"/>
          <w:sz w:val="20"/>
        </w:rPr>
        <w:t>Former Big Four and enterprise people leader</w:t>
      </w:r>
    </w:p>
    <w:p>
      <w:pPr>
        <w:spacing w:before="160" w:after="80"/>
        <w:keepNext/>
      </w:pPr>
      <w:r>
        <w:rPr>
          <w:rFonts w:ascii="Inter" w:hAnsi="Inter"/>
          <w:b/>
          <w:color w:val="C1440E"/>
          <w:sz w:val="26"/>
        </w:rPr>
        <w:t>Price section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PRICE</w:t>
            </w:r>
          </w:p>
          <w:p>
            <w:pPr>
              <w:spacing w:before="40" w:after="0"/>
            </w:pPr>
            <w:r>
              <w:rPr>
                <w:rFonts w:ascii="Inter" w:hAnsi="Inter"/>
                <w:color w:val="0F2347"/>
                <w:sz w:val="22"/>
              </w:rPr>
              <w:t>$249</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PRICE LANGUAGE</w:t>
            </w:r>
          </w:p>
          <w:p>
            <w:pPr>
              <w:spacing w:before="40" w:after="0"/>
            </w:pPr>
            <w:r>
              <w:rPr>
                <w:rFonts w:ascii="Inter" w:hAnsi="Inter"/>
                <w:color w:val="0F2347"/>
                <w:sz w:val="22"/>
              </w:rPr>
              <w:t>Public launch price for the first two paid deliveries. Limited to 15 participants for the first delivery.</w:t>
            </w:r>
          </w:p>
        </w:tc>
      </w:tr>
      <w:tr>
        <w:tc>
          <w:tcPr>
            <w:tcW w:type="dxa" w:w="10166"/>
            <w:shd w:fill="FFFFFF"/>
            <w:tcBorders>
              <w:left w:val="single" w:sz="6" w:color="D9D1C4"/>
              <w:bottom w:val="single" w:sz="6" w:color="D9D1C4"/>
              <w:right w:val="single" w:sz="6" w:color="D9D1C4"/>
            </w:tcBorders>
            <w:tcMar>
              <w:top w:w="100" w:type="dxa"/>
              <w:start w:w="180" w:type="dxa"/>
              <w:bottom w:w="100" w:type="dxa"/>
              <w:end w:w="180" w:type="dxa"/>
            </w:tcMar>
          </w:tcPr>
          <w:p>
            <w:r>
              <w:rPr>
                <w:rFonts w:ascii="Inter" w:hAnsi="Inter"/>
                <w:i/>
                <w:color w:val="6A7280"/>
                <w:sz w:val="18"/>
              </w:rPr>
              <w:t>Do not call this a founding discount. Do not display a struck-through price. Do not use a coupon code. The later $349 price is introduced only after two clean deliveries and the agreed evidence thresholds are met.</w:t>
            </w:r>
          </w:p>
        </w:tc>
      </w:tr>
    </w:tbl>
    <w:p>
      <w:pPr>
        <w:spacing w:after="20"/>
      </w:pPr>
    </w:p>
    <w:p>
      <w:pPr>
        <w:spacing w:before="160" w:after="80"/>
        <w:keepNext/>
      </w:pPr>
      <w:r>
        <w:rPr>
          <w:rFonts w:ascii="Inter" w:hAnsi="Inter"/>
          <w:b/>
          <w:color w:val="C1440E"/>
          <w:sz w:val="26"/>
        </w:rPr>
        <w:t>Short FAQ - four questions only</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IS THIS WORKSHOP ONLY FOR PEOPLE WHO ARE READY TO QUIT?</w:t>
            </w:r>
          </w:p>
          <w:p>
            <w:pPr>
              <w:spacing w:before="40" w:after="0"/>
            </w:pPr>
            <w:r>
              <w:rPr>
                <w:rFonts w:ascii="Inter" w:hAnsi="Inter"/>
                <w:color w:val="0F2347"/>
                <w:sz w:val="22"/>
              </w:rPr>
              <w:t>No. It is designed for professionals who are uncertain. Your evidence may support remaining and deepening, reshaping the role, rebuilding your options, preparing for exit, or seeking an external perspective.</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WILL TEMIDAYO TELL ME WHETHER I SHOULD LEAVE MY JOB?</w:t>
            </w:r>
          </w:p>
          <w:p>
            <w:pPr>
              <w:spacing w:before="40" w:after="0"/>
            </w:pPr>
            <w:r>
              <w:rPr>
                <w:rFonts w:ascii="Inter" w:hAnsi="Inter"/>
                <w:color w:val="0F2347"/>
                <w:sz w:val="22"/>
              </w:rPr>
              <w:t>No. You will complete a structured assessment and use evidence from your own work to identify the category of move your evidence supports testing. The purpose is to improve the quality of your judgment, not replace it.</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IS THIS A PERSONALITY OR CAREER-INTEREST TEST?</w:t>
            </w:r>
          </w:p>
          <w:p>
            <w:pPr>
              <w:spacing w:before="40" w:after="0"/>
            </w:pPr>
            <w:r>
              <w:rPr>
                <w:rFonts w:ascii="Inter" w:hAnsi="Inter"/>
                <w:color w:val="0F2347"/>
                <w:sz w:val="22"/>
              </w:rPr>
              <w:t>No. The Capability Position Read evaluates what your current work is building and how your role affects capability formation and optionality. It does not classify your personality or ideal profession.</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DO I HAVE TO SHARE MY SCORE OR EMPLOYER INFORMATION?</w:t>
            </w:r>
          </w:p>
          <w:p>
            <w:pPr>
              <w:spacing w:before="40" w:after="0"/>
            </w:pPr>
            <w:r>
              <w:rPr>
                <w:rFonts w:ascii="Inter" w:hAnsi="Inter"/>
                <w:color w:val="0F2347"/>
                <w:sz w:val="22"/>
              </w:rPr>
              <w:t>No. Your scores and workbook responses remain private. You are not required to share your state, employer name, or confidential workplace details. Only anonymous room-level counts and voluntarily shared, permissioned language are collected.</w:t>
            </w:r>
          </w:p>
        </w:tc>
      </w:tr>
    </w:tbl>
    <w:p>
      <w:pPr>
        <w:spacing w:after="20"/>
      </w:pPr>
    </w:p>
    <w:p>
      <w:pPr>
        <w:spacing w:before="160" w:after="80"/>
        <w:keepNext/>
      </w:pPr>
      <w:r>
        <w:rPr>
          <w:rFonts w:ascii="Inter" w:hAnsi="Inter"/>
          <w:b/>
          <w:color w:val="C1440E"/>
          <w:sz w:val="26"/>
        </w:rPr>
        <w:t>Footer disclaimer</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PLACE NEAR THE FAQ OR FINAL ENROLLMENT SECTION</w:t>
            </w:r>
          </w:p>
          <w:p>
            <w:pPr>
              <w:spacing w:before="40" w:after="0"/>
            </w:pPr>
            <w:r>
              <w:rPr>
                <w:rFonts w:ascii="Inter" w:hAnsi="Inter"/>
                <w:color w:val="0F2347"/>
                <w:sz w:val="22"/>
              </w:rPr>
              <w:t>This workshop is provided for educational and professional-development purposes. It does not provide legal, tax, financial, compensation, immigration, medical, mental-health, or individualized employment advice. It is not a job-placement service and does not guarantee employment, promotion, compensation, or other career outcomes.</w:t>
            </w:r>
          </w:p>
        </w:tc>
      </w:tr>
    </w:tbl>
    <w:p>
      <w:pPr>
        <w:spacing w:after="20"/>
      </w:pPr>
    </w:p>
    <w:p>
      <w:pPr>
        <w:spacing w:before="240" w:after="60"/>
        <w:keepNext/>
      </w:pPr>
      <w:r>
        <w:rPr>
          <w:rFonts w:ascii="DejaVu Serif" w:hAnsi="DejaVu Serif"/>
          <w:b/>
          <w:color w:val="0F2347"/>
          <w:sz w:val="40"/>
        </w:rPr>
        <w:t>8. Maven Syllabus and Student Experience</w:t>
      </w:r>
    </w:p>
    <w:p>
      <w:pPr>
        <w:spacing w:after="160"/>
      </w:pPr>
      <w:r>
        <w:rPr>
          <w:rFonts w:ascii="Inter" w:hAnsi="Inter"/>
          <w:color w:val="6A7280"/>
          <w:sz w:val="20"/>
        </w:rPr>
        <w:t>Use after you enter the cohort dates and Maven unlocks the syllabus builder.</w:t>
      </w:r>
    </w:p>
    <w:p>
      <w:pPr>
        <w:spacing w:before="160" w:after="80"/>
        <w:keepNext/>
      </w:pPr>
      <w:r>
        <w:rPr>
          <w:rFonts w:ascii="Inter" w:hAnsi="Inter"/>
          <w:b/>
          <w:color w:val="C1440E"/>
          <w:sz w:val="26"/>
        </w:rPr>
        <w:t>Pre-session communication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WELCOME EMAIL PURPOSE</w:t>
            </w:r>
          </w:p>
          <w:p>
            <w:pPr>
              <w:spacing w:before="40" w:after="0"/>
            </w:pPr>
            <w:r>
              <w:rPr>
                <w:rFonts w:ascii="Inter" w:hAnsi="Inter"/>
                <w:color w:val="0F2347"/>
                <w:sz w:val="22"/>
              </w:rPr>
              <w:t>Send this before the paid workshop so participants arrive technically ready and understand the privacy boundaries before live scoring begins.</w:t>
            </w:r>
          </w:p>
        </w:tc>
      </w:tr>
    </w:tbl>
    <w:p>
      <w:pPr>
        <w:spacing w:after="20"/>
      </w:pPr>
    </w:p>
    <w:tbl>
      <w:tblPr>
        <w:tblW w:type="auto" w:w="0"/>
        <w:jc w:val="center"/>
        <w:tblLayout w:type="fixed"/>
        <w:tblLook w:firstColumn="1" w:firstRow="1" w:lastColumn="0" w:lastRow="0" w:noHBand="0" w:noVBand="1" w:val="04A0"/>
      </w:tblPr>
      <w:tblGrid>
        <w:gridCol w:w="2736"/>
        <w:gridCol w:w="7056"/>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Email point</w:t>
            </w:r>
          </w:p>
        </w:tc>
        <w:tc>
          <w:tcPr>
            <w:tcW w:type="dxa" w:w="5083"/>
            <w:shd w:fill="0F2347"/>
            <w:tcMar>
              <w:top w:w="100" w:type="dxa"/>
              <w:start w:w="120" w:type="dxa"/>
              <w:bottom w:w="100" w:type="dxa"/>
              <w:end w:w="120" w:type="dxa"/>
            </w:tcMar>
          </w:tcPr>
          <w:p>
            <w:r>
              <w:rPr>
                <w:rFonts w:ascii="Inter" w:hAnsi="Inter"/>
                <w:b/>
                <w:color w:val="FFFFFF"/>
                <w:sz w:val="18"/>
              </w:rPr>
              <w:t>Include this message</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Session length</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The session lasts two hours.</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Guided work</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The first 105 minutes are guided Capability Position Read work.</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Device</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Join from a laptop or desktop rather than a phone.</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Workbook viewer</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Adobe Acrobat Reader is recommended for the fillable workbook.</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Before joining</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Open Part A before the session begins.</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Live release</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Part B will be released live after the first placement is complete.</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Privacy</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Scores and workbook responses remain private.</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Recording boundary</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Teaching may be recorded. Scoring, writing, participant discussion, and voluntary reads are not recorded.</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COPY-READY SHORT VERSION</w:t>
            </w:r>
          </w:p>
          <w:p>
            <w:pPr>
              <w:spacing w:before="40" w:after="0"/>
            </w:pPr>
            <w:r>
              <w:rPr>
                <w:rFonts w:ascii="Inter" w:hAnsi="Inter"/>
                <w:color w:val="0F2347"/>
                <w:sz w:val="22"/>
              </w:rPr>
              <w:t>This workshop lasts two hours. The first 105 minutes are guided work through the Capability Position Read, followed by 15 minutes for Q&amp;A and applications. Please join from a laptop or desktop, open Part A before we begin, and use Adobe Acrobat Reader if you want the fillable workbook fields to calculate reliably. Part B will be released live after the first placement. Your scores and workbook responses remain private. Teaching may be recorded; scoring, writing, participant discussion, and voluntary reads are not recorded.</w:t>
            </w:r>
          </w:p>
        </w:tc>
      </w:tr>
    </w:tbl>
    <w:p>
      <w:pPr>
        <w:spacing w:after="20"/>
      </w:pPr>
    </w:p>
    <w:p>
      <w:pPr>
        <w:spacing w:before="160" w:after="80"/>
        <w:keepNext/>
      </w:pPr>
      <w:r>
        <w:rPr>
          <w:rFonts w:ascii="Inter" w:hAnsi="Inter"/>
          <w:b/>
          <w:color w:val="C1440E"/>
          <w:sz w:val="26"/>
        </w:rPr>
        <w:t>Module 1: Prepare Your Evidence</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Lesson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What to Bring to the Capability Position Read</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Resource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Evidence Preparation Guide</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Estimated time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10 minutes</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Participant instruction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Bring evidence from your recent work. Do not include confidential employer information.</w:t>
            </w:r>
          </w:p>
        </w:tc>
      </w:tr>
    </w:tbl>
    <w:p>
      <w:pPr>
        <w:spacing w:after="20"/>
      </w:pPr>
    </w:p>
    <w:p>
      <w:pPr>
        <w:spacing w:before="160" w:after="80"/>
        <w:keepNext/>
      </w:pPr>
      <w:r>
        <w:rPr>
          <w:rFonts w:ascii="Inter" w:hAnsi="Inter"/>
          <w:b/>
          <w:color w:val="C1440E"/>
          <w:sz w:val="26"/>
        </w:rPr>
        <w:t>Module 2: Complete the Live Position Read</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Live event</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Decide Whether to Stay or Leave Your Job | A Live Career Growth Assessment</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Duration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Two hours live</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Core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105-minute guided Capability Position Read</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Q&amp;A</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15 minutes for questions and practical applications</w:t>
            </w:r>
          </w:p>
        </w:tc>
      </w:tr>
    </w:tbl>
    <w:p>
      <w:pPr>
        <w:spacing w:after="20"/>
      </w:pPr>
    </w:p>
    <w:p>
      <w:pPr>
        <w:spacing w:before="160" w:after="80"/>
        <w:keepNext/>
      </w:pPr>
      <w:r>
        <w:rPr>
          <w:rFonts w:ascii="Inter" w:hAnsi="Inter"/>
          <w:b/>
          <w:color w:val="C1440E"/>
          <w:sz w:val="26"/>
        </w:rPr>
        <w:t>Module 3: Act on Your Result</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Lesson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Your 30-Day Next Move</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Resource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Next-Move Decision and 30-Day Evidence Log</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Follow-up</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90-day rescore reminder</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Included resource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Capability Formation Field Kit</w:t>
            </w:r>
          </w:p>
        </w:tc>
      </w:tr>
    </w:tbl>
    <w:p>
      <w:pPr>
        <w:spacing w:after="20"/>
      </w:pPr>
    </w:p>
    <w:p>
      <w:pPr>
        <w:spacing w:before="160" w:after="80"/>
        <w:keepNext/>
      </w:pPr>
      <w:r>
        <w:rPr>
          <w:rFonts w:ascii="Inter" w:hAnsi="Inter"/>
          <w:b/>
          <w:color w:val="C1440E"/>
          <w:sz w:val="26"/>
        </w:rPr>
        <w:t>Privacy decision</w:t>
      </w:r>
    </w:p>
    <w:p>
      <w:pPr>
        <w:spacing w:after="120" w:line="259" w:lineRule="auto"/>
      </w:pPr>
      <w:r>
        <w:rPr>
          <w:rFonts w:ascii="Inter" w:hAnsi="Inter"/>
          <w:color w:val="111111"/>
          <w:sz w:val="20"/>
        </w:rPr>
        <w:t>Do not require a public Maven project submission. The participant’s scores, state, move category, and named conversations are personal career information. The Next-Move Decision should remain private in the workbook.</w:t>
      </w:r>
    </w:p>
    <w:p>
      <w:pPr>
        <w:spacing w:before="160" w:after="80"/>
        <w:keepNext/>
      </w:pPr>
      <w:r>
        <w:rPr>
          <w:rFonts w:ascii="Inter" w:hAnsi="Inter"/>
          <w:b/>
          <w:color w:val="C1440E"/>
          <w:sz w:val="26"/>
        </w:rPr>
        <w:t>Recording policy</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RECOMMENDED POLICY</w:t>
            </w:r>
          </w:p>
          <w:p>
            <w:pPr>
              <w:spacing w:before="40" w:after="0"/>
            </w:pPr>
            <w:r>
              <w:rPr>
                <w:rFonts w:ascii="Inter" w:hAnsi="Inter"/>
                <w:color w:val="0F2347"/>
                <w:sz w:val="22"/>
              </w:rPr>
              <w:t>The instructional portions of the workshop may be available to enrolled participants for 30 days. Live scoring, participant discussion, voluntary reads, and silent working time are not recorded.</w:t>
            </w:r>
          </w:p>
        </w:tc>
      </w:tr>
    </w:tbl>
    <w:p>
      <w:pPr>
        <w:spacing w:after="20"/>
      </w:pPr>
    </w:p>
    <w:p>
      <w:pPr>
        <w:spacing w:before="240" w:after="60"/>
        <w:keepNext/>
      </w:pPr>
      <w:r>
        <w:rPr>
          <w:rFonts w:ascii="DejaVu Serif" w:hAnsi="DejaVu Serif"/>
          <w:b/>
          <w:color w:val="0F2347"/>
          <w:sz w:val="40"/>
        </w:rPr>
        <w:t>9. Final Publishing Checklist</w:t>
      </w:r>
    </w:p>
    <w:p>
      <w:pPr>
        <w:spacing w:after="160"/>
      </w:pPr>
      <w:r>
        <w:rPr>
          <w:rFonts w:ascii="Inter" w:hAnsi="Inter"/>
          <w:color w:val="6A7280"/>
          <w:sz w:val="20"/>
        </w:rPr>
        <w:t>Use this immediately before publishing either Maven page.</w:t>
      </w:r>
    </w:p>
    <w:p>
      <w:pPr>
        <w:spacing w:before="160" w:after="80"/>
        <w:keepNext/>
      </w:pPr>
      <w:r>
        <w:rPr>
          <w:rFonts w:ascii="Inter" w:hAnsi="Inter"/>
          <w:b/>
          <w:color w:val="C1440E"/>
          <w:sz w:val="26"/>
        </w:rPr>
        <w:t>Free Lightning Lesson</w:t>
      </w:r>
    </w:p>
    <w:p>
      <w:pPr>
        <w:pStyle w:val="ListBullet"/>
        <w:spacing w:after="60"/>
      </w:pPr>
      <w:r>
        <w:rPr>
          <w:rFonts w:ascii="Inter" w:hAnsi="Inter"/>
          <w:color w:val="111111"/>
          <w:sz w:val="20"/>
        </w:rPr>
        <w:t>Title is exactly “How to Tell If Your Career Is Stalling.”</w:t>
      </w:r>
    </w:p>
    <w:p>
      <w:pPr>
        <w:pStyle w:val="ListBullet"/>
        <w:spacing w:after="60"/>
      </w:pPr>
      <w:r>
        <w:rPr>
          <w:rFonts w:ascii="Inter" w:hAnsi="Inter"/>
          <w:color w:val="111111"/>
          <w:sz w:val="20"/>
        </w:rPr>
        <w:t>Duration is 45 minutes.</w:t>
      </w:r>
    </w:p>
    <w:p>
      <w:pPr>
        <w:pStyle w:val="ListBullet"/>
        <w:spacing w:after="60"/>
      </w:pPr>
      <w:r>
        <w:rPr>
          <w:rFonts w:ascii="Inter" w:hAnsi="Inter"/>
          <w:color w:val="111111"/>
          <w:sz w:val="20"/>
        </w:rPr>
        <w:t>The Maven-generated image is used instead of a custom upload.</w:t>
      </w:r>
    </w:p>
    <w:p>
      <w:pPr>
        <w:pStyle w:val="ListBullet"/>
        <w:spacing w:after="60"/>
      </w:pPr>
      <w:r>
        <w:rPr>
          <w:rFonts w:ascii="Inter" w:hAnsi="Inter"/>
          <w:color w:val="111111"/>
          <w:sz w:val="20"/>
        </w:rPr>
        <w:t>Your expert-profile headshot and credential line are current.</w:t>
      </w:r>
    </w:p>
    <w:p>
      <w:pPr>
        <w:pStyle w:val="ListBullet"/>
        <w:spacing w:after="60"/>
      </w:pPr>
      <w:r>
        <w:rPr>
          <w:rFonts w:ascii="Inter" w:hAnsi="Inter"/>
          <w:color w:val="111111"/>
          <w:sz w:val="20"/>
        </w:rPr>
        <w:t>All three learning outcomes are complete.</w:t>
      </w:r>
    </w:p>
    <w:p>
      <w:pPr>
        <w:pStyle w:val="ListBullet"/>
        <w:spacing w:after="60"/>
      </w:pPr>
      <w:r>
        <w:rPr>
          <w:rFonts w:ascii="Inter" w:hAnsi="Inter"/>
          <w:color w:val="111111"/>
          <w:sz w:val="20"/>
        </w:rPr>
        <w:t>The “Why this topic matters” field is pasted in full.</w:t>
      </w:r>
    </w:p>
    <w:p>
      <w:pPr>
        <w:pStyle w:val="ListBullet"/>
        <w:spacing w:after="60"/>
      </w:pPr>
      <w:r>
        <w:rPr>
          <w:rFonts w:ascii="Inter" w:hAnsi="Inter"/>
          <w:color w:val="111111"/>
          <w:sz w:val="20"/>
        </w:rPr>
        <w:t>The paid workshop is connected as the related product.</w:t>
      </w:r>
    </w:p>
    <w:p>
      <w:pPr>
        <w:pStyle w:val="ListBullet"/>
        <w:spacing w:after="60"/>
      </w:pPr>
      <w:r>
        <w:rPr>
          <w:rFonts w:ascii="Inter" w:hAnsi="Inter"/>
          <w:color w:val="111111"/>
          <w:sz w:val="20"/>
        </w:rPr>
        <w:t>No 12-statement instrument, state placement, or Next-Move Decision is promised in the free lesson.</w:t>
      </w:r>
    </w:p>
    <w:p>
      <w:pPr>
        <w:spacing w:before="160" w:after="80"/>
        <w:keepNext/>
      </w:pPr>
      <w:r>
        <w:rPr>
          <w:rFonts w:ascii="Inter" w:hAnsi="Inter"/>
          <w:b/>
          <w:color w:val="C1440E"/>
          <w:sz w:val="26"/>
        </w:rPr>
        <w:t>Paid Workshop</w:t>
      </w:r>
    </w:p>
    <w:p>
      <w:pPr>
        <w:pStyle w:val="ListBullet"/>
        <w:spacing w:after="60"/>
      </w:pPr>
      <w:r>
        <w:rPr>
          <w:rFonts w:ascii="Inter" w:hAnsi="Inter"/>
          <w:color w:val="111111"/>
          <w:sz w:val="20"/>
        </w:rPr>
        <w:t>Title is exactly “Decide Whether to Stay or Leave Your Job | A Live Career Growth Assessment.”</w:t>
      </w:r>
    </w:p>
    <w:p>
      <w:pPr>
        <w:pStyle w:val="ListBullet"/>
        <w:spacing w:after="60"/>
      </w:pPr>
      <w:r>
        <w:rPr>
          <w:rFonts w:ascii="Inter" w:hAnsi="Inter"/>
          <w:color w:val="111111"/>
          <w:sz w:val="20"/>
        </w:rPr>
        <w:t>URL slug remains “decide-whether-to-stay-or-leave-your-job.”</w:t>
      </w:r>
    </w:p>
    <w:p>
      <w:pPr>
        <w:pStyle w:val="ListBullet"/>
        <w:spacing w:after="60"/>
      </w:pPr>
      <w:r>
        <w:rPr>
          <w:rFonts w:ascii="Inter" w:hAnsi="Inter"/>
          <w:color w:val="111111"/>
          <w:sz w:val="20"/>
        </w:rPr>
        <w:t>Public format says two hours live, including a 105-minute guided Capability Position Read and 15 minutes for Q&amp;A and applications.</w:t>
      </w:r>
    </w:p>
    <w:p>
      <w:pPr>
        <w:pStyle w:val="ListBullet"/>
        <w:spacing w:after="60"/>
      </w:pPr>
      <w:r>
        <w:rPr>
          <w:rFonts w:ascii="Inter" w:hAnsi="Inter"/>
          <w:color w:val="111111"/>
          <w:sz w:val="20"/>
        </w:rPr>
        <w:t>Price is $249 and is not described as a founding discount.</w:t>
      </w:r>
    </w:p>
    <w:p>
      <w:pPr>
        <w:pStyle w:val="ListBullet"/>
        <w:spacing w:after="60"/>
      </w:pPr>
      <w:r>
        <w:rPr>
          <w:rFonts w:ascii="Inter" w:hAnsi="Inter"/>
          <w:color w:val="111111"/>
          <w:sz w:val="20"/>
        </w:rPr>
        <w:t>The workshop hero is a minimal portrait-led image, not the crowded full-title poster.</w:t>
      </w:r>
    </w:p>
    <w:p>
      <w:pPr>
        <w:pStyle w:val="ListBullet"/>
        <w:spacing w:after="60"/>
      </w:pPr>
      <w:r>
        <w:rPr>
          <w:rFonts w:ascii="Inter" w:hAnsi="Inter"/>
          <w:color w:val="111111"/>
          <w:sz w:val="20"/>
        </w:rPr>
        <w:t>The Capability Position Read is named as the method.</w:t>
      </w:r>
    </w:p>
    <w:p>
      <w:pPr>
        <w:pStyle w:val="ListBullet"/>
        <w:spacing w:after="60"/>
      </w:pPr>
      <w:r>
        <w:rPr>
          <w:rFonts w:ascii="Inter" w:hAnsi="Inter"/>
          <w:color w:val="111111"/>
          <w:sz w:val="20"/>
        </w:rPr>
        <w:t>The four-outcome structure is visible.</w:t>
      </w:r>
    </w:p>
    <w:p>
      <w:pPr>
        <w:pStyle w:val="ListBullet"/>
        <w:spacing w:after="60"/>
      </w:pPr>
      <w:r>
        <w:rPr>
          <w:rFonts w:ascii="Inter" w:hAnsi="Inter"/>
          <w:color w:val="111111"/>
          <w:sz w:val="20"/>
        </w:rPr>
        <w:t>Deliverables include the full two-pass read, provisional placement, Next-Move Decision, Field Kit, 30-day follow-up, and 90-day rescore.</w:t>
      </w:r>
    </w:p>
    <w:p>
      <w:pPr>
        <w:pStyle w:val="ListBullet"/>
        <w:spacing w:after="60"/>
      </w:pPr>
      <w:r>
        <w:rPr>
          <w:rFonts w:ascii="Inter" w:hAnsi="Inter"/>
          <w:color w:val="111111"/>
          <w:sz w:val="20"/>
        </w:rPr>
        <w:t>The FAQ contains only four essential questions.</w:t>
      </w:r>
    </w:p>
    <w:p>
      <w:pPr>
        <w:pStyle w:val="ListBullet"/>
        <w:spacing w:after="60"/>
      </w:pPr>
      <w:r>
        <w:rPr>
          <w:rFonts w:ascii="Inter" w:hAnsi="Inter"/>
          <w:color w:val="111111"/>
          <w:sz w:val="20"/>
        </w:rPr>
        <w:t>The disclaimer is present.</w:t>
      </w:r>
    </w:p>
    <w:p>
      <w:pPr>
        <w:pStyle w:val="ListBullet"/>
        <w:spacing w:after="60"/>
      </w:pPr>
      <w:r>
        <w:rPr>
          <w:rFonts w:ascii="Inter" w:hAnsi="Inter"/>
          <w:color w:val="111111"/>
          <w:sz w:val="20"/>
        </w:rPr>
        <w:t>The deck, workbook, and Field Kit all display Capability Formation Instrument Version 1.1 before delivery.</w:t>
      </w:r>
    </w:p>
    <w:p>
      <w:pPr>
        <w:pStyle w:val="ListBullet"/>
        <w:spacing w:after="60"/>
      </w:pPr>
      <w:r>
        <w:rPr>
          <w:rFonts w:ascii="Inter" w:hAnsi="Inter"/>
          <w:color w:val="111111"/>
          <w:sz w:val="20"/>
        </w:rPr>
        <w:t>The pre-session welcome email explains the two-hour length, 105-minute guided work block, laptop recommendation, Acrobat Reader recommendation, Part A/Part B sequence, privacy boundary, and recording boundary.</w:t>
      </w:r>
    </w:p>
    <w:p>
      <w:pPr>
        <w:spacing w:before="160" w:after="80"/>
        <w:keepNext/>
      </w:pPr>
      <w:r>
        <w:rPr>
          <w:rFonts w:ascii="Inter" w:hAnsi="Inter"/>
          <w:b/>
          <w:color w:val="C1440E"/>
          <w:sz w:val="26"/>
        </w:rPr>
        <w:t>Canonical distinction between the two offers</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Free lesson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Recognition: notice three signs that your career may be stalling.</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Paid workshop</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Assessment and decision: complete the full evidence-backed Capability Position Read and write the category of move your evidence supports testing.</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Progression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Recognition → Assessment → Decision</w:t>
            </w:r>
          </w:p>
        </w:tc>
      </w:tr>
    </w:tbl>
    <w:p>
      <w:pPr>
        <w:spacing w:after="20"/>
      </w:pPr>
    </w:p>
    <w:p>
      <w:pPr>
        <w:spacing w:before="360"/>
        <w:jc w:val="center"/>
      </w:pPr>
      <w:r>
        <w:rPr>
          <w:rFonts w:ascii="Inter" w:hAnsi="Inter"/>
          <w:b/>
          <w:color w:val="C1440E"/>
          <w:sz w:val="20"/>
        </w:rPr>
        <w:t>This document is the implementation source of truth for the two Maven offers.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6A7280"/>
        <w:sz w:val="16"/>
      </w:rPr>
      <w:t>Capability Formation  |  temidayoafonja.com</w:t>
    </w:r>
    <w:r>
      <w:t xml:space="preserve">                                                        </w:t>
    </w:r>
    <w:r>
      <w:rPr>
        <w:rFonts w:ascii="Inter" w:hAnsi="Inter"/>
        <w:color w:val="6A72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Inter" w:hAnsi="Inter"/>
        <w:b/>
        <w:color w:val="C9A84C"/>
        <w:sz w:val="16"/>
      </w:rPr>
      <w:t>MAVEN OFFER MASTER COPY  |  TEMIDAYO AFONJA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erif" w:hAnsi="DejaVu Serif"/>
      <w:b/>
      <w:bCs/>
      <w:color w:val="0F2347"/>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C1440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0F23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erif" w:hAnsi="DejaVu Serif"/>
      <w:b/>
      <w:color w:val="0F23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Maven Offer Naming and Landing Page Master Copy</dc:title>
  <dc:subject>Final copy-ready Maven inputs for Temidayo Afonja</dc:subject>
  <dc:creator>Temidayo Afonja</dc:creator>
  <cp:keywords>Maven, Capability Formation, Lightning Lesson, Capability Position Read</cp:keywords>
  <dc:description>generated by python-docx</dc:description>
  <cp:lastModifiedBy/>
  <cp:revision>1</cp:revision>
  <dcterms:created xsi:type="dcterms:W3CDTF">2013-12-23T23:15:00Z</dcterms:created>
  <dcterms:modified xsi:type="dcterms:W3CDTF">2013-12-23T23:15:00Z</dcterms:modified>
  <cp:category/>
</cp:coreProperties>
</file>