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val="clear" w:fill="0F2347"/>
          </w:tcPr>
          <w:p>
            <w:pPr>
              <w:spacing w:after="40" w:before="80"/>
            </w:pPr>
            <w:r>
              <w:rPr>
                <w:rFonts w:ascii="Calibri" w:hAnsi="Calibri"/>
                <w:b/>
                <w:color w:val="FFFFFF"/>
                <w:sz w:val="19"/>
              </w:rPr>
              <w:t>INTERNAL OPERATIONS</w:t>
            </w:r>
          </w:p>
          <w:p>
            <w:pPr>
              <w:spacing w:after="40"/>
            </w:pPr>
            <w:r>
              <w:rPr>
                <w:b/>
                <w:color w:val="FFFFFF"/>
                <w:sz w:val="38"/>
              </w:rPr>
              <w:t>Free Lightning Lesson — Rehearsal Protocol</w:t>
            </w:r>
          </w:p>
          <w:p>
            <w:pPr>
              <w:spacing w:after="120"/>
            </w:pPr>
            <w:r>
              <w:rPr>
                <w:i/>
                <w:color w:val="E3D9C4"/>
                <w:sz w:val="22"/>
              </w:rPr>
              <w:t>How to Tell If Your Career Is Stalling</w:t>
            </w:r>
          </w:p>
        </w:tc>
      </w:tr>
    </w:tbl>
    <w:p>
      <w:pPr>
        <w:spacing w:after="80"/>
      </w:pPr>
    </w:p>
    <w:p>
      <w:pPr>
        <w:spacing w:after="200"/>
      </w:pPr>
      <w:r>
        <w:rPr>
          <w:b w:val="0"/>
          <w:i/>
          <w:color w:val="555555"/>
          <w:sz w:val="20"/>
        </w:rPr>
        <w:t>Two rehearsals are required before August 20. Use the frozen free deck's actual timing if it differs slightly from the target below — the target is a planning guide, not a script to force the deck into.</w:t>
      </w:r>
    </w:p>
    <w:p>
      <w:pPr>
        <w:spacing w:before="80" w:after="120"/>
      </w:pPr>
      <w:r>
        <w:rPr>
          <w:b/>
          <w:color w:val="0F2347"/>
          <w:sz w:val="32"/>
        </w:rPr>
        <w:t>45-minute target timeline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880"/>
            <w:shd w:val="clear" w:fill="0F2347"/>
          </w:tcPr>
          <w:p>
            <w:r/>
            <w:r>
              <w:rPr>
                <w:b/>
                <w:color w:val="FFFFFF"/>
                <w:sz w:val="19"/>
              </w:rPr>
              <w:t>Minutes</w:t>
            </w:r>
          </w:p>
        </w:tc>
        <w:tc>
          <w:tcPr>
            <w:tcW w:type="dxa" w:w="6480"/>
            <w:shd w:val="clear" w:fill="0F2347"/>
          </w:tcPr>
          <w:p>
            <w:r/>
            <w:r>
              <w:rPr>
                <w:b/>
                <w:color w:val="FFFFFF"/>
                <w:sz w:val="19"/>
              </w:rPr>
              <w:t>Segment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  <w:sz w:val="19"/>
              </w:rPr>
              <w:t>0–3</w:t>
            </w:r>
          </w:p>
        </w:tc>
        <w:tc>
          <w:tcPr>
            <w:tcW w:type="dxa" w:w="6480"/>
          </w:tcPr>
          <w:p>
            <w:r/>
            <w:r>
              <w:rPr>
                <w:sz w:val="19"/>
              </w:rPr>
              <w:t>Welcome + poll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  <w:sz w:val="19"/>
              </w:rPr>
              <w:t>3–7</w:t>
            </w:r>
          </w:p>
        </w:tc>
        <w:tc>
          <w:tcPr>
            <w:tcW w:type="dxa" w:w="6480"/>
          </w:tcPr>
          <w:p>
            <w:r/>
            <w:r>
              <w:rPr>
                <w:sz w:val="19"/>
              </w:rPr>
              <w:t>Is your work still building you?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  <w:sz w:val="19"/>
              </w:rPr>
              <w:t>7–25</w:t>
            </w:r>
          </w:p>
        </w:tc>
        <w:tc>
          <w:tcPr>
            <w:tcW w:type="dxa" w:w="6480"/>
          </w:tcPr>
          <w:p>
            <w:r/>
            <w:r>
              <w:rPr>
                <w:sz w:val="19"/>
              </w:rPr>
              <w:t>Three signs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  <w:sz w:val="19"/>
              </w:rPr>
              <w:t>25–32</w:t>
            </w:r>
          </w:p>
        </w:tc>
        <w:tc>
          <w:tcPr>
            <w:tcW w:type="dxa" w:w="6480"/>
          </w:tcPr>
          <w:p>
            <w:r/>
            <w:r>
              <w:rPr>
                <w:sz w:val="19"/>
              </w:rPr>
              <w:t>Recognition exercise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  <w:sz w:val="19"/>
              </w:rPr>
              <w:t>32–42</w:t>
            </w:r>
          </w:p>
        </w:tc>
        <w:tc>
          <w:tcPr>
            <w:tcW w:type="dxa" w:w="6480"/>
          </w:tcPr>
          <w:p>
            <w:r/>
            <w:r>
              <w:rPr>
                <w:sz w:val="19"/>
              </w:rPr>
              <w:t>Q&amp;A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  <w:sz w:val="19"/>
              </w:rPr>
              <w:t>42–45</w:t>
            </w:r>
          </w:p>
        </w:tc>
        <w:tc>
          <w:tcPr>
            <w:tcW w:type="dxa" w:w="6480"/>
          </w:tcPr>
          <w:p>
            <w:r/>
            <w:r>
              <w:rPr>
                <w:sz w:val="19"/>
              </w:rPr>
              <w:t>Close + paid bridge</w:t>
            </w:r>
          </w:p>
        </w:tc>
      </w:tr>
    </w:tbl>
    <w:p>
      <w:pPr>
        <w:spacing w:after="80"/>
      </w:pPr>
    </w:p>
    <w:p>
      <w:pPr>
        <w:spacing w:before="120" w:after="120"/>
      </w:pPr>
      <w:r>
        <w:rPr>
          <w:color w:val="555555"/>
          <w:sz w:val="16"/>
        </w:rPr>
        <w:t>――――――――――――――――――――――――――――――――――――――――――――――――――――――――――――――――――――――――――――――</w:t>
      </w:r>
    </w:p>
    <w:p>
      <w:pPr>
        <w:spacing w:before="80" w:after="120"/>
      </w:pPr>
      <w:r>
        <w:rPr>
          <w:b/>
          <w:color w:val="0F2347"/>
          <w:sz w:val="32"/>
        </w:rPr>
        <w:t>Rehearsal 1 — Content and timing</w:t>
      </w:r>
    </w:p>
    <w:p>
      <w:pPr>
        <w:spacing w:after="200"/>
      </w:pPr>
      <w:r>
        <w:rPr>
          <w:b w:val="0"/>
          <w:i w:val="0"/>
          <w:color w:val="000000"/>
          <w:sz w:val="21"/>
        </w:rPr>
        <w:t>Purpose: confirm the lesson's language, pacing, and section timing hold up when delivered aloud, solo, without live participants. Run it as close to a real delivery as possible — full sentences, full transitions, no summarizing.</w:t>
      </w:r>
    </w:p>
    <w:p>
      <w:pPr>
        <w:spacing w:before="80" w:after="120"/>
      </w:pPr>
      <w:r>
        <w:rPr>
          <w:b/>
          <w:color w:val="0F2347"/>
          <w:sz w:val="32"/>
        </w:rPr>
        <w:t>Rehearsal 2 — Full production simulation</w:t>
      </w:r>
    </w:p>
    <w:p>
      <w:pPr>
        <w:spacing w:after="200"/>
      </w:pPr>
      <w:r>
        <w:rPr>
          <w:b w:val="0"/>
          <w:i w:val="0"/>
          <w:color w:val="000000"/>
          <w:sz w:val="21"/>
        </w:rPr>
        <w:t>Purpose: confirm Temidayo can run the technical production (deck, Zoom, poll, chat, timer) at the same time as delivering the content, solo. Simulate an audience — even an empty room with the platform live counts, since the goal is testing the operational load, not audience reaction.</w:t>
      </w:r>
    </w:p>
    <w:p>
      <w:pPr>
        <w:spacing w:before="120" w:after="120"/>
      </w:pPr>
      <w:r>
        <w:rPr>
          <w:color w:val="555555"/>
          <w:sz w:val="16"/>
        </w:rPr>
        <w:t>――――――――――――――――――――――――――――――――――――――――――――――――――――――――――――――――――――――――――――――</w:t>
      </w:r>
    </w:p>
    <w:p>
      <w:pPr>
        <w:spacing w:before="80" w:after="120"/>
      </w:pPr>
      <w:r>
        <w:rPr>
          <w:b/>
          <w:color w:val="0F2347"/>
          <w:sz w:val="32"/>
        </w:rPr>
        <w:t>Capture for each rehearsal</w:t>
      </w:r>
    </w:p>
    <w:p>
      <w:pPr>
        <w:pStyle w:val="ListBullet"/>
        <w:spacing w:after="60"/>
      </w:pPr>
      <w:r>
        <w:rPr>
          <w:color w:val="000000"/>
          <w:sz w:val="21"/>
        </w:rPr>
        <w:t>Actual time spent per section, against the target above.</w:t>
      </w:r>
    </w:p>
    <w:p>
      <w:pPr>
        <w:pStyle w:val="ListBullet"/>
        <w:spacing w:after="60"/>
      </w:pPr>
      <w:r>
        <w:rPr>
          <w:color w:val="000000"/>
          <w:sz w:val="21"/>
        </w:rPr>
        <w:t>Where language dragged — a sentence or transition that took longer live than expected.</w:t>
      </w:r>
    </w:p>
    <w:p>
      <w:pPr>
        <w:pStyle w:val="ListBullet"/>
        <w:spacing w:after="60"/>
      </w:pPr>
      <w:r>
        <w:rPr>
          <w:color w:val="000000"/>
          <w:sz w:val="21"/>
        </w:rPr>
        <w:t>Where participant instruction was unclear — anything a live participant would likely need repeated.</w:t>
      </w:r>
    </w:p>
    <w:p>
      <w:pPr>
        <w:pStyle w:val="ListBullet"/>
        <w:spacing w:after="60"/>
      </w:pPr>
      <w:r>
        <w:rPr>
          <w:color w:val="000000"/>
          <w:sz w:val="21"/>
        </w:rPr>
        <w:t>Slide transition issues — timing, missed clicks, wrong slide reached.</w:t>
      </w:r>
    </w:p>
    <w:p>
      <w:pPr>
        <w:pStyle w:val="ListBullet"/>
        <w:spacing w:after="60"/>
      </w:pPr>
      <w:r>
        <w:rPr>
          <w:color w:val="000000"/>
          <w:sz w:val="21"/>
        </w:rPr>
        <w:t>Whether Q&amp;A had its full protected time, or was compressed by overrun elsewhere.</w:t>
      </w:r>
    </w:p>
    <w:p>
      <w:pPr>
        <w:pStyle w:val="ListBullet"/>
        <w:spacing w:after="60"/>
      </w:pPr>
      <w:r>
        <w:rPr>
          <w:color w:val="000000"/>
          <w:sz w:val="21"/>
        </w:rPr>
        <w:t>CTA duration — the close + paid bridge should run approximately two minutes; note the actual time.</w:t>
      </w:r>
    </w:p>
    <w:p>
      <w:pPr>
        <w:pStyle w:val="ListBullet"/>
        <w:spacing w:after="60"/>
      </w:pPr>
      <w:r>
        <w:rPr>
          <w:color w:val="000000"/>
          <w:sz w:val="21"/>
        </w:rPr>
        <w:t>Total elapsed time, start to finish.</w:t>
      </w:r>
    </w:p>
    <w:p>
      <w:pPr>
        <w:spacing w:after="80"/>
      </w:pPr>
    </w:p>
    <w:p>
      <w:pPr>
        <w:spacing w:before="120" w:after="120"/>
      </w:pPr>
      <w:r>
        <w:rPr>
          <w:color w:val="555555"/>
          <w:sz w:val="16"/>
        </w:rPr>
        <w:t>――――――――――――――――――――――――――――――――――――――――――――――――――――――――――――――――――――――――――――――</w:t>
      </w:r>
    </w:p>
    <w:p>
      <w:pPr>
        <w:spacing w:before="80" w:after="120"/>
      </w:pPr>
      <w:r>
        <w:rPr>
          <w:b/>
          <w:color w:val="0F2347"/>
          <w:sz w:val="32"/>
        </w:rPr>
        <w:t>Rehearsal log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736"/>
            <w:shd w:val="clear" w:fill="0F2347"/>
          </w:tcPr>
          <w:p>
            <w:r/>
            <w:r>
              <w:rPr>
                <w:b/>
                <w:color w:val="FFFFFF"/>
                <w:sz w:val="18"/>
              </w:rPr>
              <w:t>Section</w:t>
            </w:r>
          </w:p>
        </w:tc>
        <w:tc>
          <w:tcPr>
            <w:tcW w:type="dxa" w:w="1152"/>
            <w:shd w:val="clear" w:fill="0F2347"/>
          </w:tcPr>
          <w:p>
            <w:r/>
            <w:r>
              <w:rPr>
                <w:b/>
                <w:color w:val="FFFFFF"/>
                <w:sz w:val="18"/>
              </w:rPr>
              <w:t>Target</w:t>
            </w:r>
          </w:p>
        </w:tc>
        <w:tc>
          <w:tcPr>
            <w:tcW w:type="dxa" w:w="1728"/>
            <w:shd w:val="clear" w:fill="0F2347"/>
          </w:tcPr>
          <w:p>
            <w:r/>
            <w:r>
              <w:rPr>
                <w:b/>
                <w:color w:val="FFFFFF"/>
                <w:sz w:val="18"/>
              </w:rPr>
              <w:t>Rehearsal 1 actual</w:t>
            </w:r>
          </w:p>
        </w:tc>
        <w:tc>
          <w:tcPr>
            <w:tcW w:type="dxa" w:w="1728"/>
            <w:shd w:val="clear" w:fill="0F2347"/>
          </w:tcPr>
          <w:p>
            <w:r/>
            <w:r>
              <w:rPr>
                <w:b/>
                <w:color w:val="FFFFFF"/>
                <w:sz w:val="18"/>
              </w:rPr>
              <w:t>Rehearsal 2 actual</w:t>
            </w:r>
          </w:p>
        </w:tc>
        <w:tc>
          <w:tcPr>
            <w:tcW w:type="dxa" w:w="2520"/>
            <w:shd w:val="clear" w:fill="0F2347"/>
          </w:tcPr>
          <w:p>
            <w:r/>
            <w:r>
              <w:rPr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18"/>
              </w:rPr>
              <w:t>Welcome + poll</w:t>
            </w:r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0–3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2520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18"/>
              </w:rPr>
              <w:t>Is your work still building you?</w:t>
            </w:r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3–7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2520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18"/>
              </w:rPr>
              <w:t>Three signs</w:t>
            </w:r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7–25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2520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18"/>
              </w:rPr>
              <w:t>Recognition exercise</w:t>
            </w:r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25–32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2520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18"/>
              </w:rPr>
              <w:t>Q&amp;A</w:t>
            </w:r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32–42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2520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18"/>
              </w:rPr>
              <w:t>Close + paid bridge</w:t>
            </w:r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42–45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2520"/>
          </w:tcPr>
          <w:p>
            <w:r/>
            <w:r>
              <w:rPr>
                <w:sz w:val="18"/>
              </w:rPr>
            </w:r>
          </w:p>
        </w:tc>
      </w:tr>
    </w:tbl>
    <w:p>
      <w:pPr>
        <w:spacing w:after="120"/>
      </w:pPr>
    </w:p>
    <w:p>
      <w:pPr>
        <w:spacing w:before="120" w:after="120"/>
      </w:pPr>
      <w:r>
        <w:rPr>
          <w:color w:val="555555"/>
          <w:sz w:val="16"/>
        </w:rPr>
        <w:t>――――――――――――――――――――――――――――――――――――――――――――――――――――――――――――――――――――――――――――――</w:t>
      </w:r>
    </w:p>
    <w:p>
      <w:pPr>
        <w:spacing w:after="200"/>
      </w:pPr>
      <w:r>
        <w:rPr>
          <w:b/>
          <w:i w:val="0"/>
          <w:color w:val="B00000"/>
          <w:sz w:val="21"/>
        </w:rPr>
        <w:t>Do not let rehearsal turn into deck redesign unless an actual delivery defect appears — a line that cannot be delivered in the time available, an instruction a live participant could not follow, or a technical step that does not work as built. Wording preferences are not defects.</w:t>
      </w:r>
    </w:p>
    <w:p>
      <w:pPr>
        <w:spacing w:before="120" w:after="120"/>
      </w:pPr>
      <w:r>
        <w:rPr>
          <w:color w:val="555555"/>
          <w:sz w:val="16"/>
        </w:rPr>
        <w:t>――――――――――――――――――――――――――――――――――――――――――――――――――――――――――――――――――――――――――――――</w:t>
      </w:r>
    </w:p>
    <w:p>
      <w:pPr>
        <w:spacing w:after="0"/>
      </w:pPr>
      <w:r>
        <w:rPr>
          <w:b w:val="0"/>
          <w:i/>
          <w:color w:val="555555"/>
          <w:sz w:val="16"/>
        </w:rPr>
        <w:t>CAPABILITY FORMATION — FREE LIGHTNING LESSON REHEARSAL PROTOCOL v1.0  ·  INTERNAL ONLY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