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INTERNAL OPERATIONS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Free-to-Paid Conversion Implementation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How to Tell If Your Career Is Stalling → Decide Whether to Stay or Leave Your Job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b/>
          <w:color w:val="0F2347"/>
          <w:sz w:val="32"/>
        </w:rPr>
        <w:t>A. Sequencing requirement</w:t>
      </w:r>
    </w:p>
    <w:p>
      <w:pPr>
        <w:spacing w:after="200"/>
      </w:pPr>
      <w:r>
        <w:rPr>
          <w:b/>
          <w:i w:val="0"/>
          <w:color w:val="B00000"/>
          <w:sz w:val="21"/>
        </w:rPr>
        <w:t>The paid workshop page must be fully ready — checkout tested, correct price and capacity live — BEFORE Thursday, August 20, 2026. Do not open the Lightning Lesson to the public while the paid page is still incomplete.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B. Close-of-session 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Primary route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Decide Whether to Stay or Leave Your Job — The Capability Position Read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Secondary, quiet route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Capability Formation Substack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/>
          <w:i w:val="0"/>
          <w:color w:val="B00000"/>
          <w:sz w:val="20"/>
        </w:rPr>
        <w:t>No Field Kit sale at the free-session close. The Field Kit is included with the paid workshop, not sold as a standalone product at this moment.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C. Preload exactly</w:t>
      </w:r>
    </w:p>
    <w:p>
      <w:pPr>
        <w:pStyle w:val="ListBullet"/>
        <w:spacing w:after="60"/>
      </w:pPr>
      <w:r>
        <w:rPr>
          <w:color w:val="000000"/>
          <w:sz w:val="21"/>
        </w:rPr>
        <w:t>Closing slide (paid bridge) — final version loaded into the actual presentation file, not read from notes.</w:t>
      </w:r>
    </w:p>
    <w:p>
      <w:pPr>
        <w:pStyle w:val="ListBullet"/>
        <w:spacing w:after="60"/>
      </w:pPr>
      <w:r>
        <w:rPr>
          <w:color w:val="000000"/>
          <w:sz w:val="21"/>
        </w:rPr>
        <w:t>Paid link — [PAID WORKSHOP PAGE LINK], pasted into chat the moment the close begins, not typed live.</w:t>
      </w:r>
    </w:p>
    <w:p>
      <w:pPr>
        <w:pStyle w:val="ListBullet"/>
        <w:spacing w:after="60"/>
      </w:pPr>
      <w:r>
        <w:rPr>
          <w:color w:val="000000"/>
          <w:sz w:val="21"/>
        </w:rPr>
        <w:t>Chat message — pre-written, one paste, includes the paid link and the Substack link.</w:t>
      </w:r>
    </w:p>
    <w:p>
      <w:pPr>
        <w:pStyle w:val="ListBullet"/>
        <w:spacing w:after="60"/>
      </w:pPr>
      <w:r>
        <w:rPr>
          <w:color w:val="000000"/>
          <w:sz w:val="21"/>
        </w:rPr>
        <w:t>Immediate follow-up email — queued to send within a few hours of the free session, reinforcing the same primary/secondary routing.</w:t>
      </w:r>
    </w:p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D. Pre-launch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46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65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2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40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Date Verified</w:t>
            </w:r>
          </w:p>
        </w:tc>
        <w:tc>
          <w:tcPr>
            <w:tcW w:type="dxa" w:w="2448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Paid link works when clicked from a cold/incognito browser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Price displays as $500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Capacity displays as Limited to 12 participants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Date displays as Thursday, September 10, 2026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Checkout succeeds end to end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Buyer receives the correct Welcome Email (Phase 2C v1.2) after purchase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E. Stop condition</w:t>
      </w:r>
    </w:p>
    <w:p>
      <w:pPr>
        <w:spacing w:after="200"/>
      </w:pPr>
      <w:r>
        <w:rPr>
          <w:b/>
          <w:i w:val="0"/>
          <w:color w:val="000000"/>
          <w:sz w:val="21"/>
        </w:rPr>
        <w:t>Stop active promotion of the paid workshop the moment all 12 seats are filled. Do not continue running ads, emails, or social pushes toward a sold-out session.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F. If the paid workshop fills</w:t>
      </w:r>
    </w:p>
    <w:p>
      <w:pPr>
        <w:spacing w:after="80"/>
      </w:pPr>
      <w:r>
        <w:rPr>
          <w:b w:val="0"/>
          <w:i w:val="0"/>
          <w:color w:val="000000"/>
          <w:sz w:val="21"/>
        </w:rPr>
        <w:t>Replace the enrollment route with:</w:t>
      </w:r>
    </w:p>
    <w:p>
      <w:pPr>
        <w:spacing w:after="160"/>
      </w:pPr>
      <w:r>
        <w:rPr>
          <w:b/>
          <w:color w:val="0F2347"/>
          <w:sz w:val="21"/>
        </w:rPr>
        <w:t xml:space="preserve">Replacement copy:  </w:t>
      </w:r>
      <w:r>
        <w:rPr>
          <w:color w:val="000000"/>
          <w:sz w:val="21"/>
        </w:rPr>
        <w:t>“Join the priority list for the next Capability Position Read.”</w:t>
      </w:r>
    </w:p>
    <w:p>
      <w:pPr>
        <w:spacing w:after="200"/>
      </w:pPr>
      <w:r>
        <w:rPr>
          <w:b/>
          <w:i w:val="0"/>
          <w:color w:val="B00000"/>
          <w:sz w:val="20"/>
        </w:rPr>
        <w:t>Do not silently increase capacity to accommodate demand. A larger cohort changes the solo-facilitator load calculus approved in Phase 2B and is out of scope for this delivery.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CAPABILITY FORMATION — FREE-TO-PAID CONVERSION IMPLEMENTATION v1.0  ·  INTERNAL ONLY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