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Paid Workshop — Full Rehearsal Protocol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1"/>
        </w:rPr>
        <w:t>Two complete rehearsals are required before September 10. Neither may be skipped or combined.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Rehearsal 1 — Method and timing</w:t>
      </w:r>
    </w:p>
    <w:p>
      <w:pPr>
        <w:spacing w:after="160"/>
      </w:pPr>
      <w:r>
        <w:rPr>
          <w:b w:val="0"/>
          <w:i w:val="0"/>
          <w:color w:val="000000"/>
          <w:sz w:val="21"/>
        </w:rPr>
        <w:t>Purpose: confirm the full 105-minute guided core runs at its correct pace and sequence, solo, spoken aloud in full.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Focus</w:t>
      </w:r>
    </w:p>
    <w:p>
      <w:pPr>
        <w:pStyle w:val="ListBullet"/>
        <w:spacing w:after="60"/>
      </w:pPr>
      <w:r>
        <w:rPr>
          <w:color w:val="000000"/>
          <w:sz w:val="21"/>
        </w:rPr>
        <w:t>Exact 105-minute guided core, start to finish</w:t>
      </w:r>
    </w:p>
    <w:p>
      <w:pPr>
        <w:pStyle w:val="ListBullet"/>
        <w:spacing w:after="60"/>
      </w:pPr>
      <w:r>
        <w:rPr>
          <w:color w:val="000000"/>
          <w:sz w:val="21"/>
        </w:rPr>
        <w:t>Part A</w:t>
      </w:r>
    </w:p>
    <w:p>
      <w:pPr>
        <w:pStyle w:val="ListBullet"/>
        <w:spacing w:after="60"/>
      </w:pPr>
      <w:r>
        <w:rPr>
          <w:color w:val="000000"/>
          <w:sz w:val="21"/>
        </w:rPr>
        <w:t>Poll A1 (readiness)</w:t>
      </w:r>
    </w:p>
    <w:p>
      <w:pPr>
        <w:pStyle w:val="ListBullet"/>
        <w:spacing w:after="60"/>
      </w:pPr>
      <w:r>
        <w:rPr>
          <w:color w:val="000000"/>
          <w:sz w:val="21"/>
        </w:rPr>
        <w:t>Poll A2 (initial placement)</w:t>
      </w:r>
    </w:p>
    <w:p>
      <w:pPr>
        <w:pStyle w:val="ListBullet"/>
        <w:spacing w:after="60"/>
      </w:pPr>
      <w:r>
        <w:rPr>
          <w:color w:val="000000"/>
          <w:sz w:val="21"/>
        </w:rPr>
        <w:t>Staged Part B release — full response-count verification procedure</w:t>
      </w:r>
    </w:p>
    <w:p>
      <w:pPr>
        <w:pStyle w:val="ListBullet"/>
        <w:spacing w:after="60"/>
      </w:pPr>
      <w:r>
        <w:rPr>
          <w:color w:val="000000"/>
          <w:sz w:val="21"/>
        </w:rPr>
        <w:t>Evidence protocol</w:t>
      </w:r>
    </w:p>
    <w:p>
      <w:pPr>
        <w:pStyle w:val="ListBullet"/>
        <w:spacing w:after="60"/>
      </w:pPr>
      <w:r>
        <w:rPr>
          <w:color w:val="000000"/>
          <w:sz w:val="21"/>
        </w:rPr>
        <w:t>Second read</w:t>
      </w:r>
    </w:p>
    <w:p>
      <w:pPr>
        <w:pStyle w:val="ListBullet"/>
        <w:spacing w:after="60"/>
      </w:pPr>
      <w:r>
        <w:rPr>
          <w:color w:val="000000"/>
          <w:sz w:val="21"/>
        </w:rPr>
        <w:t>Sensitivity procedure</w:t>
      </w:r>
    </w:p>
    <w:p>
      <w:pPr>
        <w:pStyle w:val="ListBullet"/>
        <w:spacing w:after="60"/>
      </w:pPr>
      <w:r>
        <w:rPr>
          <w:color w:val="000000"/>
          <w:sz w:val="21"/>
        </w:rPr>
        <w:t>Poll B</w:t>
      </w:r>
    </w:p>
    <w:p>
      <w:pPr>
        <w:pStyle w:val="ListBullet"/>
        <w:spacing w:after="60"/>
      </w:pPr>
      <w:r>
        <w:rPr>
          <w:color w:val="000000"/>
          <w:sz w:val="21"/>
        </w:rPr>
        <w:t>Poll C</w:t>
      </w:r>
    </w:p>
    <w:p>
      <w:pPr>
        <w:pStyle w:val="ListBullet"/>
        <w:spacing w:after="60"/>
      </w:pPr>
      <w:r>
        <w:rPr>
          <w:color w:val="000000"/>
          <w:sz w:val="21"/>
        </w:rPr>
        <w:t>State-cost section</w:t>
      </w:r>
    </w:p>
    <w:p>
      <w:pPr>
        <w:pStyle w:val="ListBullet"/>
        <w:spacing w:after="60"/>
      </w:pPr>
      <w:r>
        <w:rPr>
          <w:color w:val="000000"/>
          <w:sz w:val="21"/>
        </w:rPr>
        <w:t>Move categories</w:t>
      </w:r>
    </w:p>
    <w:p>
      <w:pPr>
        <w:pStyle w:val="ListBullet"/>
        <w:spacing w:after="60"/>
      </w:pPr>
      <w:r>
        <w:rPr>
          <w:color w:val="000000"/>
          <w:sz w:val="21"/>
        </w:rPr>
        <w:t>8-minute protected writing block</w:t>
      </w:r>
    </w:p>
    <w:p>
      <w:pPr>
        <w:pStyle w:val="ListBullet"/>
        <w:spacing w:after="60"/>
      </w:pPr>
      <w:r>
        <w:rPr>
          <w:color w:val="000000"/>
          <w:sz w:val="21"/>
        </w:rPr>
        <w:t>Voluntary reads</w:t>
      </w:r>
    </w:p>
    <w:p>
      <w:pPr>
        <w:pStyle w:val="ListBullet"/>
        <w:spacing w:after="60"/>
      </w:pPr>
      <w:r>
        <w:rPr>
          <w:color w:val="000000"/>
          <w:sz w:val="21"/>
        </w:rPr>
        <w:t>Close</w:t>
      </w:r>
    </w:p>
    <w:p>
      <w:pPr>
        <w:pStyle w:val="ListBullet"/>
        <w:spacing w:after="60"/>
      </w:pPr>
      <w:r>
        <w:rPr>
          <w:color w:val="000000"/>
          <w:sz w:val="21"/>
        </w:rPr>
        <w:t>Q&amp;A at minute 105 (hard start)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Rehearsal 2 — Full solo production simulation</w:t>
      </w:r>
    </w:p>
    <w:p>
      <w:pPr>
        <w:spacing w:after="160"/>
      </w:pPr>
      <w:r>
        <w:rPr>
          <w:b w:val="0"/>
          <w:i w:val="0"/>
          <w:color w:val="000000"/>
          <w:sz w:val="21"/>
        </w:rPr>
        <w:t>Purpose: confirm Temidayo can operate every technical layer alone, without an assistant, while also teaching.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Temidayo must operate, unassisted</w:t>
      </w:r>
    </w:p>
    <w:p>
      <w:pPr>
        <w:pStyle w:val="ListBullet"/>
        <w:spacing w:after="60"/>
      </w:pPr>
      <w:r>
        <w:rPr>
          <w:color w:val="000000"/>
          <w:sz w:val="21"/>
        </w:rPr>
        <w:t>Deck</w:t>
      </w:r>
    </w:p>
    <w:p>
      <w:pPr>
        <w:pStyle w:val="ListBullet"/>
        <w:spacing w:after="60"/>
      </w:pPr>
      <w:r>
        <w:rPr>
          <w:color w:val="000000"/>
          <w:sz w:val="21"/>
        </w:rPr>
        <w:t>Zoom</w:t>
      </w:r>
    </w:p>
    <w:p>
      <w:pPr>
        <w:pStyle w:val="ListBullet"/>
        <w:spacing w:after="60"/>
      </w:pPr>
      <w:r>
        <w:rPr>
          <w:color w:val="000000"/>
          <w:sz w:val="21"/>
        </w:rPr>
        <w:t>Waiting room</w:t>
      </w:r>
    </w:p>
    <w:p>
      <w:pPr>
        <w:pStyle w:val="ListBullet"/>
        <w:spacing w:after="60"/>
      </w:pPr>
      <w:r>
        <w:rPr>
          <w:color w:val="000000"/>
          <w:sz w:val="21"/>
        </w:rPr>
        <w:t>Polling</w:t>
      </w:r>
    </w:p>
    <w:p>
      <w:pPr>
        <w:pStyle w:val="ListBullet"/>
        <w:spacing w:after="60"/>
      </w:pPr>
      <w:r>
        <w:rPr>
          <w:color w:val="000000"/>
          <w:sz w:val="21"/>
        </w:rPr>
        <w:t>Chat</w:t>
      </w:r>
    </w:p>
    <w:p>
      <w:pPr>
        <w:pStyle w:val="ListBullet"/>
        <w:spacing w:after="60"/>
      </w:pPr>
      <w:r>
        <w:rPr>
          <w:color w:val="000000"/>
          <w:sz w:val="21"/>
        </w:rPr>
        <w:t>Part B release</w:t>
      </w:r>
    </w:p>
    <w:p>
      <w:pPr>
        <w:pStyle w:val="ListBullet"/>
        <w:spacing w:after="60"/>
      </w:pPr>
      <w:r>
        <w:rPr>
          <w:color w:val="000000"/>
          <w:sz w:val="21"/>
        </w:rPr>
        <w:t>Timer</w:t>
      </w:r>
    </w:p>
    <w:p>
      <w:pPr>
        <w:pStyle w:val="ListBullet"/>
        <w:spacing w:after="60"/>
      </w:pPr>
      <w:r>
        <w:rPr>
          <w:color w:val="000000"/>
          <w:sz w:val="21"/>
        </w:rPr>
        <w:t>Notes</w:t>
      </w:r>
    </w:p>
    <w:p>
      <w:pPr>
        <w:pStyle w:val="ListBullet"/>
        <w:spacing w:after="60"/>
      </w:pPr>
      <w:r>
        <w:rPr>
          <w:color w:val="000000"/>
          <w:sz w:val="21"/>
        </w:rPr>
        <w:t>Transitions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Rehearsal 2 — simulated scenarios</w:t>
      </w:r>
    </w:p>
    <w:p>
      <w:pPr>
        <w:spacing w:after="200"/>
      </w:pPr>
      <w:r>
        <w:rPr>
          <w:b w:val="0"/>
          <w:i w:val="0"/>
          <w:color w:val="555555"/>
          <w:sz w:val="20"/>
        </w:rPr>
        <w:t>Run at least all eleven scenarios below during Rehearsal 2. For each, document the approved response, the recovery action, what must not happen, and whether timing recovers before minute 105.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1.  Participant asks a question during scoring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Acknowledge briefly, redirect to the Q&amp;A boundary line, do not answer live during a protected scoring window.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Continue the scoring window without interruption; hold the question for Q&amp;A.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stop the room's scoring rhythm to answer in the moment.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no time lost if the redirect is immediate and scripted.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2.  One poll response is missing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Verify the response count against active participants before advancing; if short, use the scripted "one or more responses are still outstanding" line.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Wait, do not release Part B or move to the next poll until the count matches.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release Part B or advance based on a visual scan or assumption.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the built-in one-minute allowance absorbs this without falling behind.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3.  Someone needs another minute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Grant one additional minute to the whole room and repeat the readiness check.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Re-poll Screen A1 after the extra minute; do not single out the individual.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proceed with a partial-readiness room.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this is the built-in allowance, not an overrun.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4.  Someone disconnects after minute 8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This is a verified reconnection, not a new entrant.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Readmit at the next natural pause via waiting-room control.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treat this the same as a new-entrant admission request; do not use a hard meeting lock that would block their return.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readmission at a natural pause costs no scoring time.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5.  One participant joins after minute 8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This is a new entrant and is not admitted — the assessment method has already begun.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Leave them in the waiting room; direct any follow-up to support after the session.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admit a new entrant after minute 8 under any circumstance, including a sympathetic case.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no admission action is taken, so no time is spent.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6.  A singleton state appears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Never display or read aloud a count of one; do not let a singleton drive deeper state-cost teaching.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If no state has 2+, teach all four states evenly without disclosing why.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name, imply, or hint at a singleton count at any point.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this is a teaching-content decision made once, not a live delay.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7.  Part B link fails once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Use the pre-tested backup anonymous poll; if that also fails, skip the metric and mark it unavailable on the capture sheet.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Retry once with the backup, then move on without the metric — do not improvise an identifiable substitute.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fall back to show of hands, named chat, direct message, or verbal disclosure.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Yes, if the backup succeeds quickly; if skipped, the room loses no time waiting.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8.  Participant cannot open the PDF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Point them to the print/manual-total fallback; the method does not depend on the form fields working.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They continue in the room using paper or a blank document; direct off-session troubleshooting to support.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stop the room to troubleshoot one participant's PDF live.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the fallback keeps them moving with the room.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9.  Session runs two minutes behind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Apply the named cut order before minute 105: voluntary reads, extended state-cost discussion, extra calibration examples, appendix discussion.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Recover the two minutes from the cut-order list, in order, starting with voluntary reads.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cut into the protected 8-minute writing block, the evidence protocol, or the sensitivity procedure to recover time.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recovery happens before minute 105 by design; Q&amp;A itself is never shortened for this.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10.  Participant asks "Should I quit?"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Use the Q&amp;A boundary line: "I can help you clarify what your evidence supports. I cannot make the employment decision for you."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Redirect to their own evidence and placement; do not answer the question as asked.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give a direct yes/no employment recommendation under any framing.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this is a scripted redirect, not an open-ended discussion.</w:t>
      </w:r>
    </w:p>
    <w:p>
      <w:pPr>
        <w:keepNext/>
        <w:spacing w:before="160" w:after="60"/>
      </w:pPr>
      <w:r>
        <w:rPr>
          <w:b/>
          <w:color w:val="996600"/>
          <w:sz w:val="22"/>
        </w:rPr>
        <w:t>11.  Someone volunteers too much identifying information</w:t>
      </w:r>
    </w:p>
    <w:p>
      <w:pPr>
        <w:spacing w:after="160"/>
      </w:pPr>
      <w:r>
        <w:rPr>
          <w:b/>
          <w:color w:val="0F2347"/>
          <w:sz w:val="21"/>
        </w:rPr>
        <w:t xml:space="preserve">APPROVED RESPONSE:  </w:t>
      </w:r>
      <w:r>
        <w:rPr>
          <w:color w:val="000000"/>
          <w:sz w:val="21"/>
        </w:rPr>
        <w:t>Redirect using the permission-script boundary; do not repeat identifying details back to the room.</w:t>
      </w:r>
    </w:p>
    <w:p>
      <w:pPr>
        <w:spacing w:after="160"/>
      </w:pPr>
      <w:r>
        <w:rPr>
          <w:b/>
          <w:color w:val="996600"/>
          <w:sz w:val="21"/>
        </w:rPr>
        <w:t xml:space="preserve">RECOVERY ACTION:  </w:t>
      </w:r>
      <w:r>
        <w:rPr>
          <w:color w:val="000000"/>
          <w:sz w:val="21"/>
        </w:rPr>
        <w:t>Thank them briefly, steer back to the evidence-based language the method uses.</w:t>
      </w:r>
    </w:p>
    <w:p>
      <w:pPr>
        <w:spacing w:after="160"/>
      </w:pPr>
      <w:r>
        <w:rPr>
          <w:b/>
          <w:color w:val="B00000"/>
          <w:sz w:val="21"/>
        </w:rPr>
        <w:t xml:space="preserve">WHAT MUST NOT HAPPEN:  </w:t>
      </w:r>
      <w:r>
        <w:rPr>
          <w:color w:val="000000"/>
          <w:sz w:val="21"/>
        </w:rPr>
        <w:t>Do not name their employer, ask follow-up questions that invite more identifying detail, or repeat what they shared verbatim.</w:t>
      </w:r>
    </w:p>
    <w:p>
      <w:pPr>
        <w:spacing w:after="240"/>
      </w:pPr>
      <w:r>
        <w:rPr>
          <w:b w:val="0"/>
          <w:i w:val="0"/>
          <w:color w:val="555555"/>
          <w:sz w:val="19"/>
        </w:rPr>
        <w:t>Timing recovers before minute 105: Yes — a brief redirect costs seconds, not minutes.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PAID WORKSHOP FULL REHEARSAL PROTOCOL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