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11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The headline improved. The work did not.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These are invented teaching numbers, not customer data.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These are invented teaching numbers, not customer data.</w:t>
      </w:r>
    </w:p>
    <w:p>
      <w:pPr>
        <w:spacing w:before="0" w:after="200" w:line="322" w:lineRule="auto"/>
      </w:pPr>
      <w:r>
        <w:rPr>
          <w:sz w:val="25"/>
        </w:rPr>
        <w:t>In the first period, sixty out of a hundred cases met the target. In the second, eighty out of a hundred did.</w:t>
      </w:r>
    </w:p>
    <w:p>
      <w:pPr>
        <w:spacing w:before="0" w:after="200" w:line="322" w:lineRule="auto"/>
      </w:pPr>
      <w:r>
        <w:rPr>
          <w:sz w:val="25"/>
        </w:rPr>
        <w:t>The headline looks better.</w:t>
      </w:r>
    </w:p>
    <w:p>
      <w:pPr>
        <w:spacing w:before="0" w:after="200" w:line="322" w:lineRule="auto"/>
      </w:pPr>
      <w:r>
        <w:rPr>
          <w:sz w:val="25"/>
        </w:rPr>
        <w:t>But separate routine cases from complex ones.</w:t>
      </w:r>
    </w:p>
    <w:p>
      <w:pPr>
        <w:spacing w:before="0" w:after="200" w:line="322" w:lineRule="auto"/>
      </w:pPr>
      <w:r>
        <w:rPr>
          <w:sz w:val="25"/>
        </w:rPr>
        <w:t>Routine cases met the target ninety percent of the time in both periods. Complex cases met it forty percent of the time in both periods.</w:t>
      </w:r>
    </w:p>
    <w:p>
      <w:pPr>
        <w:spacing w:before="0" w:after="200" w:line="322" w:lineRule="auto"/>
      </w:pPr>
      <w:r>
        <w:rPr>
          <w:sz w:val="25"/>
        </w:rPr>
        <w:t>What changed was the mix. The overall number improved even though the within-category rates did not.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what the aggregate number is hiding.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SYNTHETIC DATA label throughout. The split revealed under the headline rate.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V11 demonstration.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11 Short  |  v11_a2_the_mix_changed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