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12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Editorial Check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What to Do When You Can’t Quit Your Job Yet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Video_12_FINAL_Revised_Recording_Master.docx  ·  SHA-256 f9e5316370edbc6e0029382cdc4fd086fb2e0241ee9097d5ba8f2e4e00f26807</w:t>
      </w:r>
    </w:p>
    <w:p>
      <w:pPr>
        <w:spacing w:after="80"/>
      </w:pPr>
      <w:r>
        <w:rPr>
          <w:b/>
          <w:color w:val="8A6D1E"/>
          <w:sz w:val="20"/>
        </w:rPr>
        <w:t xml:space="preserve">Runtime mode  </w:t>
      </w:r>
      <w:r>
        <w:rPr>
          <w:sz w:val="21"/>
        </w:rPr>
        <w:t>REGULAR LONG-FORM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Temidayo's experience is evidence and warrant for the teaching. It is not the destination of the story. The tests below measure that against the corrected master rather than asserting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PAINFUL PROBLEM</w:t>
      </w:r>
    </w:p>
    <w:p>
      <w:pPr>
        <w:spacing w:before="0" w:after="160"/>
      </w:pPr>
      <w:r>
        <w:rPr>
          <w:b w:val="0"/>
          <w:i w:val="0"/>
          <w:sz w:val="25"/>
        </w:rPr>
        <w:t>You cannot leave yet, and it is starting to feel as though nothing can change.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SOLUTION OR TOOL</w:t>
      </w:r>
    </w:p>
    <w:p>
      <w:pPr>
        <w:spacing w:before="0" w:after="160"/>
      </w:pPr>
      <w:r>
        <w:rPr>
          <w:b w:val="0"/>
          <w:i w:val="0"/>
          <w:sz w:val="25"/>
        </w:rPr>
        <w:t>Protect what must hold, bound what you can, prepare one possible next step, written as four lines with a review point.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VIEWER OUTCOME</w:t>
      </w:r>
    </w:p>
    <w:p>
      <w:pPr>
        <w:spacing w:before="0" w:after="160"/>
      </w:pPr>
      <w:r>
        <w:rPr>
          <w:b w:val="0"/>
          <w:i w:val="0"/>
          <w:sz w:val="25"/>
        </w:rPr>
        <w:t>You have a plan that fits the constraint you actually have, and a date or condition for revisiting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ONE PRIMARY ACTION</w:t>
      </w:r>
    </w:p>
    <w:p>
      <w:pPr>
        <w:spacing w:before="0" w:after="160"/>
      </w:pPr>
      <w:r>
        <w:rPr>
          <w:b/>
          <w:i w:val="0"/>
          <w:color w:val="112345"/>
          <w:sz w:val="24"/>
        </w:rPr>
        <w:t>Keep the action small enough that it can actually happen.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Spoken at: Write the four lines privately.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Resource route: Career Decision Evidence Check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TESTS AGAINST THE CORRECTED MASTER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7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TEST</w:t>
            </w:r>
          </w:p>
        </w:tc>
        <w:tc>
          <w:tcPr>
            <w:tcW w:type="dxa" w:w="129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RESULT</w:t>
            </w:r>
          </w:p>
        </w:tc>
        <w:tc>
          <w:tcPr>
            <w:tcW w:type="dxa" w:w="46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MEASURED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problem is the viewer's, not the presenter's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Stated in second person.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solution or tool sits between the problem and the outcome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Protect what must hold, bound what you can, prepare one possible next step, written as four lines with a review point.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outcome is something the viewer can do or say afterward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Stated in second person.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closes on the viewer's action, not on the presenter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Last 320 words: 0.0% first person, and the viewer is addressed.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primary action, and it is the one the CTA card carries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Keep the action small enough that it can actually happen.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Experience is used as warrant, not as the destination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1.1% of the script is first person.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PAGE DOES NOT CLAIM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the video will retain, convert or rank.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that everything in Temidayo's experience transfers. Employer constraints, bias, markets, credentials, regulation, domain knowledge, relationships, compensation realities, genuine gaps and relearning all still apply.</w:t>
      </w:r>
    </w:p>
    <w:p>
      <w:pPr>
        <w:spacing w:after="80" w:line="278" w:lineRule="auto"/>
        <w:ind w:left="547" w:hanging="230"/>
      </w:pPr>
      <w:r>
        <w:rPr>
          <w:sz w:val="21"/>
        </w:rPr>
        <w:t>•   A pass here means the structure holds, not that the script is finished. The master is the authority on the words.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12 editorial check  |  painful problem, solution, viewer outcome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