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Employers do not agree with each other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of the most useful things in the research was that employers disagreed.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of the most useful things in the research was that employers disagreed.</w:t>
      </w:r>
    </w:p>
    <w:p>
      <w:pPr>
        <w:spacing w:before="0" w:after="200" w:line="322" w:lineRule="auto"/>
      </w:pPr>
      <w:r>
        <w:rPr>
          <w:sz w:val="25"/>
        </w:rPr>
        <w:t>One healthcare posting wanted someone comfortable starting new projects with limited content knowledge.</w:t>
      </w:r>
    </w:p>
    <w:p>
      <w:pPr>
        <w:spacing w:before="0" w:after="200" w:line="322" w:lineRule="auto"/>
      </w:pPr>
      <w:r>
        <w:rPr>
          <w:sz w:val="25"/>
        </w:rPr>
        <w:t>One wealth-management posting made years of financial-services experience a hard requirement, and project-management background only preferred.</w:t>
      </w:r>
    </w:p>
    <w:p>
      <w:pPr>
        <w:spacing w:before="0" w:after="200" w:line="322" w:lineRule="auto"/>
      </w:pPr>
      <w:r>
        <w:rPr>
          <w:sz w:val="25"/>
        </w:rPr>
        <w:t>So transferability is not only a property of your experience.</w:t>
      </w:r>
    </w:p>
    <w:p>
      <w:pPr>
        <w:spacing w:before="0" w:after="200" w:line="322" w:lineRule="auto"/>
      </w:pPr>
      <w:r>
        <w:rPr>
          <w:sz w:val="25"/>
        </w:rPr>
        <w:t>It is also something an employer decides how much to trust.</w:t>
      </w:r>
    </w:p>
    <w:p>
      <w:pPr>
        <w:spacing w:before="0" w:after="200" w:line="322" w:lineRule="auto"/>
      </w:pPr>
      <w:r>
        <w:rPr>
          <w:sz w:val="25"/>
        </w:rPr>
        <w:t>You can make a strong case and still meet an employer who wants direct experience. That is the constraint, not a contradiction.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Read the posting for how much it trusts adjacent experience.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postings side by side, described by type. Employers are not named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employer disagreement.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  |  v14_a4_employers_disagree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