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Four buckets, not one list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a transferable-skills list, sort one destination role into four buckets.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a transferable-skills list, sort one destination role into four buckets.</w:t>
      </w:r>
    </w:p>
    <w:p>
      <w:pPr>
        <w:spacing w:before="0" w:after="200" w:line="322" w:lineRule="auto"/>
      </w:pPr>
      <w:r>
        <w:rPr>
          <w:sz w:val="25"/>
        </w:rPr>
        <w:t>Travels. Capability you can already prove.</w:t>
      </w:r>
    </w:p>
    <w:p>
      <w:pPr>
        <w:spacing w:before="0" w:after="200" w:line="322" w:lineRule="auto"/>
      </w:pPr>
      <w:r>
        <w:rPr>
          <w:sz w:val="25"/>
        </w:rPr>
        <w:t>Looks similar. Familiar language, different decision.</w:t>
      </w:r>
    </w:p>
    <w:p>
      <w:pPr>
        <w:spacing w:before="0" w:after="200" w:line="322" w:lineRule="auto"/>
      </w:pPr>
      <w:r>
        <w:rPr>
          <w:sz w:val="25"/>
        </w:rPr>
        <w:t>Must be learned. Knowledge you can acquire through study.</w:t>
      </w:r>
    </w:p>
    <w:p>
      <w:pPr>
        <w:spacing w:before="0" w:after="200" w:line="322" w:lineRule="auto"/>
      </w:pPr>
      <w:r>
        <w:rPr>
          <w:sz w:val="25"/>
        </w:rPr>
        <w:t>Must be experienced. Context that needs exposure, access or practice.</w:t>
      </w:r>
    </w:p>
    <w:p>
      <w:pPr>
        <w:spacing w:before="0" w:after="200" w:line="322" w:lineRule="auto"/>
      </w:pPr>
      <w:r>
        <w:rPr>
          <w:sz w:val="25"/>
        </w:rPr>
        <w:t>It is a harder exercise than writing a transferable-skills list.</w:t>
      </w:r>
    </w:p>
    <w:p>
      <w:pPr>
        <w:spacing w:before="0" w:after="200" w:line="322" w:lineRule="auto"/>
      </w:pPr>
      <w:r>
        <w:rPr>
          <w:sz w:val="25"/>
        </w:rPr>
        <w:t>It is also the one that tells you where you have a real starting point, and where you are making too big a claim.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order, each with one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application.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  |  v14_b1_four_buckets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