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Video_15_FINAL_Regular_Length_Recording_Master.docx  ·  SHA-256 f219fd15ac4c7d7abaa9f271ff15b6e105b2c71b1cdd137873187018aa9601c3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9:35 to 10:42 from 1,390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You know the work. You know the numbers. You can explain exactly what happened.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question changes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EARLY PAYOFF | Three gaps, three responses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GAP ONE, THE LEARNING GAP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GAP TWO, THE PRACTICE AND AUTHORITY GAP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GAP THREE, THE EVIDENCE GAP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REASON THE DISTINCTION MATTERS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CONSTRUCTED EXAMPLE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LIMITS, SAID PLAINLY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AND CTA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 Preserve one primary CTA. Watch Next is full-screen and final. Do not invent outcomes, causal claims, employer acceptance, or research findings.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Writing it down as one of those three is most of the value, because the moment you have to choose a word, you find out whether you actually know which problem you have.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