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This is not a verdict on you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caution about naming a career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caution about naming a career gap.</w:t>
      </w:r>
    </w:p>
    <w:p>
      <w:pPr>
        <w:spacing w:before="0" w:after="200" w:line="322" w:lineRule="auto"/>
      </w:pPr>
      <w:r>
        <w:rPr>
          <w:sz w:val="25"/>
        </w:rPr>
        <w:t>This is not a diagnostic and it does not assign you a type.</w:t>
      </w:r>
    </w:p>
    <w:p>
      <w:pPr>
        <w:spacing w:before="0" w:after="200" w:line="322" w:lineRule="auto"/>
      </w:pPr>
      <w:r>
        <w:rPr>
          <w:sz w:val="25"/>
        </w:rPr>
        <w:t>You may have none of these gaps. You may have more than one.</w:t>
      </w:r>
    </w:p>
    <w:p>
      <w:pPr>
        <w:spacing w:before="0" w:after="200" w:line="322" w:lineRule="auto"/>
      </w:pPr>
      <w:r>
        <w:rPr>
          <w:sz w:val="25"/>
        </w:rPr>
        <w:t>And some gaps are not yours to solve alone. You cannot award yourself authority your role does not hold, or manufacture access to consequential work.</w:t>
      </w:r>
    </w:p>
    <w:p>
      <w:pPr>
        <w:spacing w:before="0" w:after="200" w:line="322" w:lineRule="auto"/>
      </w:pPr>
      <w:r>
        <w:rPr>
          <w:sz w:val="25"/>
        </w:rPr>
        <w:t>The point is not to label yourself. It is to stop spending time on a solution that does not match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Match the step to the gap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framework graphic 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  |  v15_b2_not_a_verdict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