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16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to Do When Your Work Is Valued but You Are Overlooked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Video_16_FINAL_Regular_Length_Recording_Master.docx  ·  SHA-256 3ec0c0e95c21e83ef87b7c7ae35d7b2313cc0d00f0ef8ac83312b7151c32ba30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8:07 to 9:03 from 1,176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When something is urgent, they call you.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Relied on, then skipped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REVERSAL | More visibility may not be the answer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WHERE THE WORK DISAPPEARS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TRUSTED TO DELIVER, CONSIDERED FOR SCOPE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HINGE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TO BUILD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HOW TO USE IT, HONESTLY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THIS DOES NOT FIX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DECIDING WHAT TO DO WITH A REAL ANSWER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CLOSE AND CTA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PRODUCTION GUARDRAILS</w:t>
      </w:r>
    </w:p>
    <w:p>
      <w:pPr>
        <w:spacing w:after="80" w:line="278" w:lineRule="auto"/>
        <w:ind w:left="547" w:hanging="230"/>
      </w:pPr>
      <w:r>
        <w:rPr>
          <w:sz w:val="21"/>
        </w:rPr>
        <w:t>•   No em dashes. U.S. English. No burned-in captions for long-form. Preserve one primary CTA. Watch Next is full-screen and final. Do not invent outcomes, causal claims, employer acceptance, or research findings.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If it is difficult to write, that is worth knowing. It usually means the work has been sitting inside a result that has somebody else's name on it, and now you know what to fix first.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16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