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Does not know, or knows and does not act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one distinction worth more than any advice about visibility.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one distinction worth more than any advice about visibility.</w:t>
      </w:r>
    </w:p>
    <w:p>
      <w:pPr>
        <w:spacing w:before="0" w:after="200" w:line="322" w:lineRule="auto"/>
      </w:pPr>
      <w:r>
        <w:rPr>
          <w:sz w:val="25"/>
        </w:rPr>
        <w:t>A manager who does not know is a completely different situation from a manager who knows and does not act.</w:t>
      </w:r>
    </w:p>
    <w:p>
      <w:pPr>
        <w:spacing w:before="0" w:after="200" w:line="322" w:lineRule="auto"/>
      </w:pPr>
      <w:r>
        <w:rPr>
          <w:sz w:val="25"/>
        </w:rPr>
        <w:t>The first is an information problem. Frustrating, but often fixable.</w:t>
      </w:r>
    </w:p>
    <w:p>
      <w:pPr>
        <w:spacing w:before="0" w:after="200" w:line="322" w:lineRule="auto"/>
      </w:pPr>
      <w:r>
        <w:rPr>
          <w:sz w:val="25"/>
        </w:rPr>
        <w:t>The second is not. If they understand exactly what you contributed and nothing moves, more explanation is probably not the missing ingredient.</w:t>
      </w:r>
    </w:p>
    <w:p>
      <w:pPr>
        <w:spacing w:before="0" w:after="200" w:line="322" w:lineRule="auto"/>
      </w:pPr>
      <w:r>
        <w:rPr>
          <w:sz w:val="25"/>
        </w:rPr>
        <w:t>And you cannot tell which one you are in until the information problem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Fix the information problem first, so you can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panels, clearly different problems rather than degrees of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the hinge.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  |  v16_a2_the_hinge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