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16</w:t>
      </w:r>
    </w:p>
    <w:p>
      <w:pPr>
        <w:spacing w:before="0" w:after="80"/>
      </w:pPr>
      <w:r>
        <w:rPr>
          <w:b/>
          <w:i w:val="0"/>
          <w:color w:val="112345"/>
          <w:sz w:val="42"/>
        </w:rPr>
        <w:t>Publishing Materials</w:t>
      </w:r>
    </w:p>
    <w:p>
      <w:pPr>
        <w:spacing w:before="0" w:after="280"/>
      </w:pPr>
      <w:r>
        <w:rPr>
          <w:b w:val="0"/>
          <w:i w:val="0"/>
          <w:color w:val="5A6B82"/>
          <w:sz w:val="20"/>
        </w:rPr>
        <w:t>What to Do When Your Work Is Valued but You Are Overlooked</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Source  </w:t>
      </w:r>
      <w:r>
        <w:rPr>
          <w:sz w:val="21"/>
        </w:rPr>
        <w:t>Video_16_FINAL_Regular_Length_Recording_Master.docx  ·  SHA-256 3ec0c0e95c21e83ef87b7c7ae35d7b2313cc0d00f0ef8ac83312b7151c32ba30</w:t>
      </w:r>
    </w:p>
    <w:p>
      <w:pPr>
        <w:spacing w:before="200" w:after="200"/>
        <w:ind w:left="216"/>
        <w:pBdr>
          <w:left w:val="single" w:sz="18" w:color="9B2C10" w:space="8"/>
        </w:pBdr>
        <w:keepNext w:val="1"/>
        <w:keepLines w:val="1"/>
      </w:pPr>
      <w:r>
        <w:rPr>
          <w:b/>
          <w:color w:val="9B2C10"/>
          <w:sz w:val="21"/>
        </w:rPr>
        <w:t>The title and the thumbnail wording are taken from the locked master and are not restyled here.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What to Do When Your Work Is Valued but You Are Overlooked</w:t>
      </w:r>
    </w:p>
    <w:p>
      <w:pPr>
        <w:spacing w:before="320" w:after="120"/>
        <w:keepNext w:val="1"/>
        <w:keepLines w:val="1"/>
      </w:pPr>
      <w:r>
        <w:rPr>
          <w:b/>
          <w:i w:val="0"/>
          <w:color w:val="112345"/>
          <w:sz w:val="26"/>
        </w:rPr>
        <w:t>THUMBNAIL TEXT</w:t>
      </w:r>
    </w:p>
    <w:p>
      <w:pPr>
        <w:spacing w:before="0" w:after="160"/>
      </w:pPr>
      <w:r>
        <w:rPr>
          <w:b/>
          <w:i w:val="0"/>
          <w:color w:val="112345"/>
          <w:sz w:val="26"/>
        </w:rPr>
        <w:t>THEY NEED YOU. THEN SKIP YOU.</w:t>
      </w:r>
    </w:p>
    <w:p>
      <w:pPr>
        <w:spacing w:before="320" w:after="120"/>
        <w:keepNext w:val="1"/>
        <w:keepLines w:val="1"/>
      </w:pPr>
      <w:r>
        <w:rPr>
          <w:b/>
          <w:i w:val="0"/>
          <w:color w:val="112345"/>
          <w:sz w:val="26"/>
        </w:rPr>
        <w:t>DESCRIPTION</w:t>
      </w:r>
    </w:p>
    <w:p>
      <w:pPr>
        <w:spacing w:before="0" w:after="160"/>
      </w:pPr>
      <w:r>
        <w:rPr>
          <w:b w:val="0"/>
          <w:i w:val="0"/>
          <w:sz w:val="22"/>
        </w:rPr>
        <w:t>There is a particular kind of stuck that is not the same as being invisible. Your work is relied on. Your name is not in the room where scope gets decided.</w:t>
      </w:r>
    </w:p>
    <w:p>
      <w:pPr>
        <w:spacing w:before="0" w:after="160"/>
      </w:pPr>
      <w:r>
        <w:rPr>
          <w:b w:val="0"/>
          <w:i w:val="0"/>
          <w:sz w:val="22"/>
        </w:rPr>
        <w:t>The usual advice is to speak up more. That can help, but it treats several different problems as though they are one.</w:t>
      </w:r>
    </w:p>
    <w:p>
      <w:pPr>
        <w:spacing w:before="0" w:after="160"/>
      </w:pPr>
      <w:r>
        <w:rPr>
          <w:b w:val="0"/>
          <w:i w:val="0"/>
          <w:sz w:val="22"/>
        </w:rPr>
        <w:t>This video separates four: is the work seen, is it attributed to you, are you trusted for delivery or considered for larger scope, and is the obstacle one you can actually remove.</w:t>
      </w:r>
    </w:p>
    <w:p>
      <w:pPr>
        <w:spacing w:before="0" w:after="160"/>
      </w:pPr>
      <w:r>
        <w:rPr>
          <w:b w:val="0"/>
          <w:i w:val="0"/>
          <w:sz w:val="22"/>
        </w:rPr>
        <w:t>It is honest about the limit. A clearer record does not override bias, create a role that does not exist, or move a budget you do not control. What it does is remove the obstacle that is yours, so whatever remains becomes easier to see.</w:t>
      </w:r>
    </w:p>
    <w:p>
      <w:pPr>
        <w:spacing w:before="200" w:after="80"/>
      </w:pPr>
      <w:r>
        <w:rPr>
          <w:b/>
          <w:i w:val="0"/>
          <w:color w:val="8A6D1E"/>
          <w:sz w:val="18"/>
        </w:rPr>
        <w:t>RESOURCE LINE, paste as the last block:</w:t>
      </w:r>
    </w:p>
    <w:p>
      <w:pPr>
        <w:spacing w:before="0" w:after="160"/>
      </w:pPr>
      <w:r>
        <w:rPr>
          <w:b/>
          <w:i w:val="0"/>
          <w:sz w:val="22"/>
        </w:rPr>
        <w:t>Keep the Proof: https://temidayoafonja.com/keep-the-proof</w:t>
      </w:r>
    </w:p>
    <w:p>
      <w:pPr>
        <w:spacing w:before="0" w:after="160"/>
      </w:pPr>
      <w:r>
        <w:rPr>
          <w:b w:val="0"/>
          <w:i w:val="0"/>
          <w:color w:val="5A6B82"/>
          <w:sz w:val="20"/>
        </w:rPr>
        <w:t>WATCH NEXT LINE: Video 8: How to Show Your Impact at Work When You Built It From Scratch</w:t>
      </w:r>
    </w:p>
    <w:p>
      <w:pPr>
        <w:spacing w:before="0" w:after="160"/>
      </w:pPr>
      <w:r>
        <w:rPr>
          <w:b w:val="0"/>
          <w:i w:val="0"/>
          <w:color w:val="9B2C10"/>
          <w:sz w:val="20"/>
        </w:rPr>
        <w:t>[PLACEHOLDER] Insert the Watch Next video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Write one decision you made and what it changed.</w:t>
      </w:r>
    </w:p>
    <w:p>
      <w:pPr>
        <w:spacing w:before="0" w:after="160"/>
      </w:pPr>
      <w:r>
        <w:rPr>
          <w:b w:val="0"/>
          <w:i w:val="0"/>
          <w:sz w:val="22"/>
        </w:rPr>
        <w:t>Then the harder read: does your manager not know, or do they know and not act? Those are different situations, and you cannot tell which one you are in until the information problem is gone.</w:t>
      </w:r>
    </w:p>
    <w:p>
      <w:pPr>
        <w:spacing w:before="320" w:after="120"/>
        <w:keepNext w:val="1"/>
        <w:keepLines w:val="1"/>
      </w:pPr>
      <w:r>
        <w:rPr>
          <w:b/>
          <w:i w:val="0"/>
          <w:color w:val="112345"/>
          <w:sz w:val="26"/>
        </w:rPr>
        <w:t>TAGS</w:t>
      </w:r>
    </w:p>
    <w:p>
      <w:pPr>
        <w:spacing w:before="0" w:after="160"/>
      </w:pPr>
      <w:r>
        <w:rPr>
          <w:b w:val="0"/>
          <w:i w:val="0"/>
          <w:sz w:val="22"/>
        </w:rPr>
        <w:t>overlooked at work, workplace recognition, career visibility, promotion, contribution record, career evidence, experienced professionals, workplace advice, scope and promotion, mid career, career strategy, being undervalued</w:t>
      </w:r>
    </w:p>
    <w:p>
      <w:pPr>
        <w:spacing w:before="320" w:after="120"/>
        <w:keepNext w:val="1"/>
        <w:keepLines w:val="1"/>
      </w:pPr>
      <w:r>
        <w:rPr>
          <w:b/>
          <w:i w:val="0"/>
          <w:color w:val="112345"/>
          <w:sz w:val="26"/>
        </w:rPr>
        <w:t>HASHTAGS</w:t>
      </w:r>
    </w:p>
    <w:p>
      <w:pPr>
        <w:spacing w:before="0" w:after="160"/>
      </w:pPr>
      <w:r>
        <w:rPr>
          <w:b/>
          <w:i w:val="0"/>
          <w:sz w:val="24"/>
        </w:rPr>
        <w:t>#CareerAdvice  #WorkplaceRecognition  #CapabilityFormation</w:t>
      </w:r>
    </w:p>
    <w:p>
      <w:pPr>
        <w:spacing w:before="320" w:after="120"/>
        <w:keepNext w:val="1"/>
        <w:keepLines w:val="1"/>
      </w:pPr>
      <w:r>
        <w:rPr>
          <w:b/>
          <w:i w:val="0"/>
          <w:color w:val="112345"/>
          <w:sz w:val="26"/>
        </w:rPr>
        <w:t>RESOURCE ROUTE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RESOURCE</w:t>
            </w:r>
          </w:p>
        </w:tc>
        <w:tc>
          <w:tcPr>
            <w:tcW w:type="dxa" w:w="3024"/>
            <w:shd w:val="clear" w:color="auto" w:fill="F3EFE6"/>
          </w:tcPr>
          <w:p>
            <w:pPr>
              <w:spacing w:before="60" w:after="60" w:line="264" w:lineRule="auto"/>
            </w:pPr>
            <w:r/>
            <w:r>
              <w:rPr>
                <w:b/>
                <w:i w:val="0"/>
                <w:color w:val="112345"/>
                <w:sz w:val="17"/>
              </w:rPr>
              <w:t>WHERE IT LIVES</w:t>
            </w:r>
          </w:p>
        </w:tc>
        <w:tc>
          <w:tcPr>
            <w:tcW w:type="dxa" w:w="3888"/>
            <w:shd w:val="clear" w:color="auto" w:fill="F3EFE6"/>
          </w:tcPr>
          <w:p>
            <w:pPr>
              <w:spacing w:before="60" w:after="60" w:line="264" w:lineRule="auto"/>
            </w:pPr>
            <w:r/>
            <w:r>
              <w:rPr>
                <w:b/>
                <w:i w:val="0"/>
                <w:color w:val="112345"/>
                <w:sz w:val="17"/>
              </w:rPr>
              <w:t>HOW IT IS USED</w:t>
            </w:r>
          </w:p>
        </w:tc>
      </w:tr>
      <w:tr>
        <w:tc>
          <w:tcPr>
            <w:tcW w:type="dxa" w:w="2736"/>
          </w:tcPr>
          <w:p>
            <w:pPr>
              <w:spacing w:before="60" w:after="60" w:line="264" w:lineRule="auto"/>
            </w:pPr>
            <w:r/>
            <w:r>
              <w:rPr>
                <w:b w:val="0"/>
                <w:i w:val="0"/>
                <w:sz w:val="18"/>
              </w:rPr>
              <w:t>Keep the Proof</w:t>
            </w:r>
          </w:p>
        </w:tc>
        <w:tc>
          <w:tcPr>
            <w:tcW w:type="dxa" w:w="3024"/>
          </w:tcPr>
          <w:p>
            <w:pPr>
              <w:spacing w:before="60" w:after="60" w:line="264" w:lineRule="auto"/>
            </w:pPr>
            <w:r/>
            <w:r>
              <w:rPr>
                <w:b w:val="0"/>
                <w:i w:val="0"/>
                <w:sz w:val="18"/>
              </w:rPr>
              <w:t>temidayoafonja.com/keep-the-proof</w:t>
            </w:r>
          </w:p>
        </w:tc>
        <w:tc>
          <w:tcPr>
            <w:tcW w:type="dxa" w:w="3888"/>
          </w:tcPr>
          <w:p>
            <w:pPr>
              <w:spacing w:before="60" w:after="60" w:line="264" w:lineRule="auto"/>
            </w:pPr>
            <w:r/>
            <w:r>
              <w:rPr>
                <w:b w:val="0"/>
                <w:i w:val="0"/>
                <w:sz w:val="18"/>
              </w:rPr>
              <w:t>Named once in the script, after the teaching. One primary CTA. No second offer is added.</w:t>
            </w:r>
          </w:p>
        </w:tc>
      </w:tr>
    </w:tbl>
    <w:p>
      <w:pPr>
        <w:spacing w:after="120"/>
      </w:pP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Video 8: How to Show Your Impact at Work When You Built It From Scratch</w:t>
            </w:r>
          </w:p>
        </w:tc>
      </w:tr>
      <w:tr>
        <w:tc>
          <w:tcPr>
            <w:tcW w:type="dxa" w:w="1944"/>
          </w:tcPr>
          <w:p>
            <w:pPr>
              <w:spacing w:before="60" w:after="60" w:line="264" w:lineRule="auto"/>
            </w:pPr>
            <w:r/>
            <w:r>
              <w:rPr>
                <w:b w:val="0"/>
                <w:i w:val="0"/>
                <w:sz w:val="18"/>
              </w:rPr>
              <w:t>Where that comes from</w:t>
            </w:r>
          </w:p>
        </w:tc>
        <w:tc>
          <w:tcPr>
            <w:tcW w:type="dxa" w:w="7704"/>
          </w:tcPr>
          <w:p>
            <w:pPr>
              <w:spacing w:before="60" w:after="60" w:line="264" w:lineRule="auto"/>
            </w:pPr>
            <w:r/>
            <w:r>
              <w:rPr>
                <w:b w:val="0"/>
                <w:i w:val="0"/>
                <w:sz w:val="18"/>
              </w:rPr>
              <w:t>the Watch Next card in the production deck</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The card keeps its copy on the left so a YouTube end screen can sit on the right. No return to camera afterward.</w:t>
            </w:r>
          </w:p>
        </w:tc>
      </w:tr>
    </w:tbl>
    <w:p>
      <w:pPr>
        <w:spacing w:after="120"/>
      </w:pPr>
    </w:p>
    <w:p>
      <w:pPr>
        <w:spacing w:before="320" w:after="120"/>
        <w:keepNext w:val="1"/>
        <w:keepLines w:val="1"/>
      </w:pPr>
      <w:r>
        <w:rPr>
          <w:b/>
          <w:i w:val="0"/>
          <w:color w:val="112345"/>
          <w:sz w:val="26"/>
        </w:rPr>
        <w:t>CANVA THUMBNAIL BRIEF</w:t>
      </w:r>
    </w:p>
    <w:p>
      <w:pPr>
        <w:spacing w:after="80" w:line="278" w:lineRule="auto"/>
        <w:ind w:left="547" w:hanging="230"/>
      </w:pPr>
      <w:r>
        <w:rPr>
          <w:sz w:val="21"/>
        </w:rPr>
        <w:t>•   Headline text, exactly as locked: THEY NEED YOU. THEN SKIP YOU.</w:t>
      </w:r>
    </w:p>
    <w:p>
      <w:pPr>
        <w:spacing w:after="80" w:line="278" w:lineRule="auto"/>
        <w:ind w:left="547" w:hanging="230"/>
      </w:pPr>
      <w:r>
        <w:rPr>
          <w:sz w:val="21"/>
        </w:rPr>
        <w:t>•   Set the headline flush left in short stacked lines, Montserrat ExtraBold, cap height 240 to 300 px on a 3840 by 2160 master.</w:t>
      </w:r>
    </w:p>
    <w:p>
      <w:pPr>
        <w:spacing w:after="80" w:line="278" w:lineRule="auto"/>
        <w:ind w:left="547" w:hanging="230"/>
      </w:pPr>
      <w:r>
        <w:rPr>
          <w:sz w:val="21"/>
        </w:rPr>
        <w:t>•   Deep navy #112345 field. Warm cream and white for the headline. Bright warm yellow as selective emphasis only, well under about 4 percent of the canvas.</w:t>
      </w:r>
    </w:p>
    <w:p>
      <w:pPr>
        <w:spacing w:after="80" w:line="278" w:lineRule="auto"/>
        <w:ind w:left="547" w:hanging="230"/>
      </w:pPr>
      <w:r>
        <w:rPr>
          <w:sz w:val="21"/>
        </w:rPr>
        <w:t>•   Large real portrait of Temidayo on the right, about 44 to 47 percent of the canvas. Natural skin tone. Use an approved real photograph.</w:t>
      </w:r>
    </w:p>
    <w:p>
      <w:pPr>
        <w:spacing w:after="80" w:line="278" w:lineRule="auto"/>
        <w:ind w:left="547" w:hanging="230"/>
      </w:pPr>
      <w:r>
        <w:rPr>
          <w:sz w:val="21"/>
        </w:rPr>
        <w:t>•   Do NOT generate, reconstruct, beautify or alter the face. Permitted on the source photograph: crop, mask, restrained exposure adjustment, color balance, background removal.</w:t>
      </w:r>
    </w:p>
    <w:p>
      <w:pPr>
        <w:spacing w:after="80" w:line="278" w:lineRule="auto"/>
        <w:ind w:left="547" w:hanging="230"/>
      </w:pPr>
      <w:r>
        <w:rPr>
          <w:sz w:val="21"/>
        </w:rPr>
        <w:t>•   No clutter, no tiny text, no fake icons, no AI-looking people, no numbers and no implied statistic.</w:t>
      </w:r>
    </w:p>
    <w:p>
      <w:pPr>
        <w:spacing w:after="80" w:line="278" w:lineRule="auto"/>
        <w:ind w:left="547" w:hanging="230"/>
      </w:pPr>
      <w:r>
        <w:rPr>
          <w:sz w:val="21"/>
        </w:rPr>
        <w:t>•   Keep the portrait layer and the text layer editable and separate.</w:t>
      </w:r>
    </w:p>
    <w:p>
      <w:pPr>
        <w:spacing w:after="80" w:line="278" w:lineRule="auto"/>
        <w:ind w:left="547" w:hanging="230"/>
      </w:pPr>
      <w:r>
        <w:rPr>
          <w:sz w:val="21"/>
        </w:rPr>
        <w:t>•   Must be legible at 200 px wide, which is the recommendation-column size.</w:t>
      </w:r>
    </w:p>
    <w:p>
      <w:pPr>
        <w:spacing w:after="80" w:line="278" w:lineRule="auto"/>
        <w:ind w:left="547" w:hanging="230"/>
      </w:pPr>
      <w:r>
        <w:rPr>
          <w:sz w:val="21"/>
        </w:rPr>
        <w:t>•   Export a 3840 by 2160 PNG master and a 1280 by 720 JPG for upload, quality 95, under 2 MB.</w:t>
      </w:r>
    </w:p>
    <w:p>
      <w:pPr>
        <w:spacing w:after="80" w:line="278" w:lineRule="auto"/>
        <w:ind w:left="547" w:hanging="230"/>
      </w:pPr>
      <w:r>
        <w:rPr>
          <w:sz w:val="21"/>
        </w:rPr>
        <w:t>•   Artwork is approved separately. This brief does not authorize a finished thumbnail.</w:t>
      </w:r>
    </w:p>
    <w:p>
      <w:pPr>
        <w:spacing w:before="320" w:after="120"/>
        <w:keepNext w:val="1"/>
        <w:keepLines w:val="1"/>
      </w:pPr>
      <w:r>
        <w:rPr>
          <w:b/>
          <w:i w:val="0"/>
          <w:color w:val="112345"/>
          <w:sz w:val="26"/>
        </w:rPr>
        <w:t>PUBLICATION AND LINK CHECKLIST</w:t>
      </w:r>
    </w:p>
    <w:p>
      <w:pPr>
        <w:spacing w:after="100" w:line="278" w:lineRule="auto"/>
        <w:ind w:left="490" w:hanging="490"/>
      </w:pPr>
      <w:r>
        <w:rPr>
          <w:b/>
          <w:sz w:val="21"/>
        </w:rPr>
        <w:t xml:space="preserve">1.   </w:t>
      </w:r>
      <w:r>
        <w:rPr>
          <w:sz w:val="21"/>
        </w:rPr>
        <w:t>Thumbnail artwork approved separately, and checked at 200 px wide.</w:t>
      </w:r>
    </w:p>
    <w:p>
      <w:pPr>
        <w:spacing w:after="100" w:line="278" w:lineRule="auto"/>
        <w:ind w:left="490" w:hanging="490"/>
      </w:pPr>
      <w:r>
        <w:rPr>
          <w:b/>
          <w:sz w:val="21"/>
        </w:rPr>
        <w:t xml:space="preserve">2.   </w:t>
      </w:r>
      <w:r>
        <w:rPr>
          <w:sz w:val="21"/>
        </w:rPr>
        <w:t>Title and thumbnail wording match the locked master exactly.</w:t>
      </w:r>
    </w:p>
    <w:p>
      <w:pPr>
        <w:spacing w:after="100" w:line="278" w:lineRule="auto"/>
        <w:ind w:left="490" w:hanging="490"/>
      </w:pPr>
      <w:r>
        <w:rPr>
          <w:b/>
          <w:sz w:val="21"/>
        </w:rPr>
        <w:t xml:space="preserve">3.   </w:t>
      </w:r>
      <w:r>
        <w:rPr>
          <w:sz w:val="21"/>
        </w:rPr>
        <w:t>Description resource link tested while signed out.</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on the export. SRT uploaded, generated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completed from the actual track used. None is recorded here.</w:t>
      </w:r>
    </w:p>
    <w:p>
      <w:pPr>
        <w:spacing w:after="100" w:line="278" w:lineRule="auto"/>
        <w:ind w:left="490" w:hanging="490"/>
      </w:pPr>
      <w:r>
        <w:rPr>
          <w:b/>
          <w:sz w:val="21"/>
        </w:rPr>
        <w:t xml:space="preserve">8.   </w:t>
      </w:r>
      <w:r>
        <w:rPr>
          <w:sz w:val="21"/>
        </w:rPr>
        <w:t>End screen configured so it does not cover the Watch Next copy.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16 publishing materials  |  copy taken from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