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color w:val="8A6D1E"/>
          <w:sz w:val="18"/>
        </w:rPr>
        <w:t>CAPABILITY FORMATION  |  VIDEO 17</w:t>
      </w:r>
    </w:p>
    <w:p>
      <w:pPr>
        <w:spacing w:before="0" w:after="80"/>
      </w:pPr>
      <w:r>
        <w:rPr>
          <w:b/>
          <w:i w:val="0"/>
          <w:color w:val="112345"/>
          <w:sz w:val="42"/>
        </w:rPr>
        <w:t>Publishing Materials</w:t>
      </w:r>
    </w:p>
    <w:p>
      <w:pPr>
        <w:spacing w:before="0" w:after="280"/>
      </w:pPr>
      <w:r>
        <w:rPr>
          <w:b w:val="0"/>
          <w:i w:val="0"/>
          <w:color w:val="5A6B82"/>
          <w:sz w:val="20"/>
        </w:rPr>
        <w:t>How to Prove Your Value When AI Does More of the Task</w:t>
      </w:r>
    </w:p>
    <w:p>
      <w:pPr>
        <w:spacing w:before="0" w:after="240"/>
        <w:pBdr>
          <w:bottom w:val="single" w:sz="6" w:color="8A6D1E"/>
        </w:pBdr>
      </w:pPr>
    </w:p>
    <w:p>
      <w:pPr>
        <w:spacing w:after="80"/>
      </w:pPr>
      <w:r>
        <w:rPr>
          <w:b/>
          <w:color w:val="8A6D1E"/>
          <w:sz w:val="20"/>
        </w:rPr>
        <w:t xml:space="preserve">Generated  </w:t>
      </w:r>
      <w:r>
        <w:rPr>
          <w:sz w:val="21"/>
        </w:rPr>
        <w:t>Saturday, September 12, 2026 | 5:28 AM CT (America/Chicago, UTC-05:00)</w:t>
      </w:r>
    </w:p>
    <w:p>
      <w:pPr>
        <w:spacing w:after="80"/>
      </w:pPr>
      <w:r>
        <w:rPr>
          <w:b/>
          <w:color w:val="8A6D1E"/>
          <w:sz w:val="20"/>
        </w:rPr>
        <w:t xml:space="preserve">Source  </w:t>
      </w:r>
      <w:r>
        <w:rPr>
          <w:sz w:val="21"/>
        </w:rPr>
        <w:t>Video_17_FINAL_Regular_Length_Recording_Master.docx  ·  SHA-256 797e0cd2aac89e8eb457871f81aadebb07a05b731b8b2b2ce50ad407a9d6d888</w:t>
      </w:r>
    </w:p>
    <w:p>
      <w:pPr>
        <w:spacing w:before="200" w:after="200"/>
        <w:ind w:left="216"/>
        <w:pBdr>
          <w:left w:val="single" w:sz="18" w:color="9B2C10" w:space="8"/>
        </w:pBdr>
        <w:keepNext w:val="1"/>
        <w:keepLines w:val="1"/>
      </w:pPr>
      <w:r>
        <w:rPr>
          <w:b/>
          <w:color w:val="9B2C10"/>
          <w:sz w:val="21"/>
        </w:rPr>
        <w:t>The title and the thumbnail wording are taken from the locked master and are not restyled here. No URL, chapter timestamp, music credit or performance claim is invented anywhere in this document.</w:t>
      </w:r>
    </w:p>
    <w:p>
      <w:pPr>
        <w:spacing w:before="320" w:after="120"/>
        <w:keepNext w:val="1"/>
        <w:keepLines w:val="1"/>
      </w:pPr>
      <w:r>
        <w:rPr>
          <w:b/>
          <w:i w:val="0"/>
          <w:color w:val="112345"/>
          <w:sz w:val="26"/>
        </w:rPr>
        <w:t>YOUTUBE TITLE</w:t>
      </w:r>
    </w:p>
    <w:p>
      <w:pPr>
        <w:spacing w:before="0" w:after="160"/>
      </w:pPr>
      <w:r>
        <w:rPr>
          <w:b/>
          <w:i w:val="0"/>
          <w:color w:val="112345"/>
          <w:sz w:val="26"/>
        </w:rPr>
        <w:t>How to Prove Your Value When AI Does More of the Task</w:t>
      </w:r>
    </w:p>
    <w:p>
      <w:pPr>
        <w:spacing w:before="320" w:after="120"/>
        <w:keepNext w:val="1"/>
        <w:keepLines w:val="1"/>
      </w:pPr>
      <w:r>
        <w:rPr>
          <w:b/>
          <w:i w:val="0"/>
          <w:color w:val="112345"/>
          <w:sz w:val="26"/>
        </w:rPr>
        <w:t>THUMBNAIL TEXT</w:t>
      </w:r>
    </w:p>
    <w:p>
      <w:pPr>
        <w:spacing w:before="0" w:after="160"/>
      </w:pPr>
      <w:r>
        <w:rPr>
          <w:b/>
          <w:i w:val="0"/>
          <w:color w:val="112345"/>
          <w:sz w:val="26"/>
        </w:rPr>
        <w:t>WHAT DID YOU ACTUALLY DO?</w:t>
      </w:r>
    </w:p>
    <w:p>
      <w:pPr>
        <w:spacing w:before="320" w:after="120"/>
        <w:keepNext w:val="1"/>
        <w:keepLines w:val="1"/>
      </w:pPr>
      <w:r>
        <w:rPr>
          <w:b/>
          <w:i w:val="0"/>
          <w:color w:val="112345"/>
          <w:sz w:val="26"/>
        </w:rPr>
        <w:t>DESCRIPTION</w:t>
      </w:r>
    </w:p>
    <w:p>
      <w:pPr>
        <w:spacing w:before="0" w:after="160"/>
      </w:pPr>
      <w:r>
        <w:rPr>
          <w:b w:val="0"/>
          <w:i w:val="0"/>
          <w:sz w:val="22"/>
        </w:rPr>
        <w:t>The report used to take two days. Now a tool produces most of it in forty minutes. The work is not worse, but the answer to what did you actually do has become harder to give.</w:t>
      </w:r>
    </w:p>
    <w:p>
      <w:pPr>
        <w:spacing w:before="0" w:after="160"/>
      </w:pPr>
      <w:r>
        <w:rPr>
          <w:b w:val="0"/>
          <w:i w:val="0"/>
          <w:sz w:val="22"/>
        </w:rPr>
        <w:t>The problem is usually not that your value dropped. It is that the artifact used to be the evidence, and the artifact has stopped being scarce.</w:t>
      </w:r>
    </w:p>
    <w:p>
      <w:pPr>
        <w:spacing w:before="0" w:after="160"/>
      </w:pPr>
      <w:r>
        <w:rPr>
          <w:b w:val="0"/>
          <w:i w:val="0"/>
          <w:sz w:val="22"/>
        </w:rPr>
        <w:t>This video gives four lines to keep for one piece of AI-assisted work: what you were asked to get right, what you checked and why, what you concluded that the output did not say, and what you were accountable for.</w:t>
      </w:r>
    </w:p>
    <w:p>
      <w:pPr>
        <w:spacing w:before="0" w:after="160"/>
      </w:pPr>
      <w:r>
        <w:rPr>
          <w:b w:val="0"/>
          <w:i w:val="0"/>
          <w:sz w:val="22"/>
        </w:rPr>
        <w:t>It does not claim that human judgment makes a job safe, and it does not claim that these tools cannot perform work that looks like judgment. The narrower point holds either way.</w:t>
      </w:r>
    </w:p>
    <w:p>
      <w:pPr>
        <w:spacing w:before="200" w:after="80"/>
      </w:pPr>
      <w:r>
        <w:rPr>
          <w:b/>
          <w:i w:val="0"/>
          <w:color w:val="8A6D1E"/>
          <w:sz w:val="18"/>
        </w:rPr>
        <w:t>RESOURCE LINE, paste as the last block:</w:t>
      </w:r>
    </w:p>
    <w:p>
      <w:pPr>
        <w:spacing w:before="0" w:after="160"/>
      </w:pPr>
      <w:r>
        <w:rPr>
          <w:b/>
          <w:i w:val="0"/>
          <w:sz w:val="22"/>
        </w:rPr>
        <w:t>Keep the Proof: https://temidayoafonja.com/keep-the-proof</w:t>
      </w:r>
    </w:p>
    <w:p>
      <w:pPr>
        <w:spacing w:before="0" w:after="160"/>
      </w:pPr>
      <w:r>
        <w:rPr>
          <w:b w:val="0"/>
          <w:i w:val="0"/>
          <w:color w:val="5A6B82"/>
          <w:sz w:val="20"/>
        </w:rPr>
        <w:t>WATCH NEXT LINE: Video 11: AI Can Do the Task. What Are You Still Paid For?</w:t>
      </w:r>
    </w:p>
    <w:p>
      <w:pPr>
        <w:spacing w:before="0" w:after="160"/>
      </w:pPr>
      <w:r>
        <w:rPr>
          <w:b w:val="0"/>
          <w:i w:val="0"/>
          <w:color w:val="9B2C10"/>
          <w:sz w:val="20"/>
        </w:rPr>
        <w:t>[PLACEHOLDER] Insert the Watch Next video URL after that video is published. Do not invent a URL.</w:t>
      </w:r>
    </w:p>
    <w:p>
      <w:pPr>
        <w:spacing w:before="320" w:after="120"/>
        <w:keepNext w:val="1"/>
        <w:keepLines w:val="1"/>
      </w:pPr>
      <w:r>
        <w:rPr>
          <w:b/>
          <w:i w:val="0"/>
          <w:color w:val="112345"/>
          <w:sz w:val="26"/>
        </w:rPr>
        <w:t>PINNED COMMENT</w:t>
      </w:r>
    </w:p>
    <w:p>
      <w:pPr>
        <w:spacing w:before="0" w:after="160"/>
      </w:pPr>
      <w:r>
        <w:rPr>
          <w:b w:val="0"/>
          <w:i w:val="0"/>
          <w:sz w:val="22"/>
        </w:rPr>
        <w:t>Take one piece of work from this week where a tool did most of the visible production, and write what you checked and why.</w:t>
      </w:r>
    </w:p>
    <w:p>
      <w:pPr>
        <w:spacing w:before="0" w:after="160"/>
      </w:pPr>
      <w:r>
        <w:rPr>
          <w:b w:val="0"/>
          <w:i w:val="0"/>
          <w:sz w:val="22"/>
        </w:rPr>
        <w:t>That is the line people forget fastest, and it is the one that carries the contribution.</w:t>
      </w:r>
    </w:p>
    <w:p>
      <w:pPr>
        <w:spacing w:before="320" w:after="120"/>
        <w:keepNext w:val="1"/>
        <w:keepLines w:val="1"/>
      </w:pPr>
      <w:r>
        <w:rPr>
          <w:b/>
          <w:i w:val="0"/>
          <w:color w:val="112345"/>
          <w:sz w:val="26"/>
        </w:rPr>
        <w:t>TAGS</w:t>
      </w:r>
    </w:p>
    <w:p>
      <w:pPr>
        <w:spacing w:before="0" w:after="160"/>
      </w:pPr>
      <w:r>
        <w:rPr>
          <w:b w:val="0"/>
          <w:i w:val="0"/>
          <w:sz w:val="22"/>
        </w:rPr>
        <w:t>AI at work, proving your value, contribution record, AI and careers, career evidence, knowledge work, experienced professionals, workplace AI, professional value, career strategy, mid career, future of work</w:t>
      </w:r>
    </w:p>
    <w:p>
      <w:pPr>
        <w:spacing w:before="320" w:after="120"/>
        <w:keepNext w:val="1"/>
        <w:keepLines w:val="1"/>
      </w:pPr>
      <w:r>
        <w:rPr>
          <w:b/>
          <w:i w:val="0"/>
          <w:color w:val="112345"/>
          <w:sz w:val="26"/>
        </w:rPr>
        <w:t>HASHTAGS</w:t>
      </w:r>
    </w:p>
    <w:p>
      <w:pPr>
        <w:spacing w:before="0" w:after="160"/>
      </w:pPr>
      <w:r>
        <w:rPr>
          <w:b/>
          <w:i w:val="0"/>
          <w:sz w:val="24"/>
        </w:rPr>
        <w:t>#AIAtWork  #CareerAdvice  #CapabilityFormation</w:t>
      </w:r>
    </w:p>
    <w:p>
      <w:pPr>
        <w:spacing w:before="320" w:after="120"/>
        <w:keepNext w:val="1"/>
        <w:keepLines w:val="1"/>
      </w:pPr>
      <w:r>
        <w:rPr>
          <w:b/>
          <w:i w:val="0"/>
          <w:color w:val="112345"/>
          <w:sz w:val="26"/>
        </w:rPr>
        <w:t>RESOURCE ROUTE</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3216"/>
        <w:gridCol w:w="3216"/>
        <w:gridCol w:w="3216"/>
      </w:tblGrid>
      <w:tr>
        <w:trPr>
          <w:tblHeader w:val="true"/>
        </w:trPr>
        <w:tc>
          <w:tcPr>
            <w:tcW w:type="dxa" w:w="2736"/>
            <w:shd w:val="clear" w:color="auto" w:fill="F3EFE6"/>
          </w:tcPr>
          <w:p>
            <w:pPr>
              <w:spacing w:before="60" w:after="60" w:line="264" w:lineRule="auto"/>
            </w:pPr>
            <w:r/>
            <w:r>
              <w:rPr>
                <w:b/>
                <w:i w:val="0"/>
                <w:color w:val="112345"/>
                <w:sz w:val="17"/>
              </w:rPr>
              <w:t>RESOURCE</w:t>
            </w:r>
          </w:p>
        </w:tc>
        <w:tc>
          <w:tcPr>
            <w:tcW w:type="dxa" w:w="3024"/>
            <w:shd w:val="clear" w:color="auto" w:fill="F3EFE6"/>
          </w:tcPr>
          <w:p>
            <w:pPr>
              <w:spacing w:before="60" w:after="60" w:line="264" w:lineRule="auto"/>
            </w:pPr>
            <w:r/>
            <w:r>
              <w:rPr>
                <w:b/>
                <w:i w:val="0"/>
                <w:color w:val="112345"/>
                <w:sz w:val="17"/>
              </w:rPr>
              <w:t>WHERE IT LIVES</w:t>
            </w:r>
          </w:p>
        </w:tc>
        <w:tc>
          <w:tcPr>
            <w:tcW w:type="dxa" w:w="3888"/>
            <w:shd w:val="clear" w:color="auto" w:fill="F3EFE6"/>
          </w:tcPr>
          <w:p>
            <w:pPr>
              <w:spacing w:before="60" w:after="60" w:line="264" w:lineRule="auto"/>
            </w:pPr>
            <w:r/>
            <w:r>
              <w:rPr>
                <w:b/>
                <w:i w:val="0"/>
                <w:color w:val="112345"/>
                <w:sz w:val="17"/>
              </w:rPr>
              <w:t>HOW IT IS USED</w:t>
            </w:r>
          </w:p>
        </w:tc>
      </w:tr>
      <w:tr>
        <w:tc>
          <w:tcPr>
            <w:tcW w:type="dxa" w:w="2736"/>
          </w:tcPr>
          <w:p>
            <w:pPr>
              <w:spacing w:before="60" w:after="60" w:line="264" w:lineRule="auto"/>
            </w:pPr>
            <w:r/>
            <w:r>
              <w:rPr>
                <w:b w:val="0"/>
                <w:i w:val="0"/>
                <w:sz w:val="18"/>
              </w:rPr>
              <w:t>Keep the Proof</w:t>
            </w:r>
          </w:p>
        </w:tc>
        <w:tc>
          <w:tcPr>
            <w:tcW w:type="dxa" w:w="3024"/>
          </w:tcPr>
          <w:p>
            <w:pPr>
              <w:spacing w:before="60" w:after="60" w:line="264" w:lineRule="auto"/>
            </w:pPr>
            <w:r/>
            <w:r>
              <w:rPr>
                <w:b w:val="0"/>
                <w:i w:val="0"/>
                <w:sz w:val="18"/>
              </w:rPr>
              <w:t>temidayoafonja.com/keep-the-proof</w:t>
            </w:r>
          </w:p>
        </w:tc>
        <w:tc>
          <w:tcPr>
            <w:tcW w:type="dxa" w:w="3888"/>
          </w:tcPr>
          <w:p>
            <w:pPr>
              <w:spacing w:before="60" w:after="60" w:line="264" w:lineRule="auto"/>
            </w:pPr>
            <w:r/>
            <w:r>
              <w:rPr>
                <w:b w:val="0"/>
                <w:i w:val="0"/>
                <w:sz w:val="18"/>
              </w:rPr>
              <w:t>Named once in the script, after the teaching. One primary CTA. No second offer is added.</w:t>
            </w:r>
          </w:p>
        </w:tc>
      </w:tr>
    </w:tbl>
    <w:p>
      <w:pPr>
        <w:spacing w:after="120"/>
      </w:pPr>
    </w:p>
    <w:p>
      <w:pPr>
        <w:spacing w:before="320" w:after="120"/>
        <w:keepNext w:val="1"/>
        <w:keepLines w:val="1"/>
      </w:pPr>
      <w:r>
        <w:rPr>
          <w:b/>
          <w:i w:val="0"/>
          <w:color w:val="112345"/>
          <w:sz w:val="26"/>
        </w:rPr>
        <w:t>WATCH NEXT AND PLAYLIST</w:t>
      </w:r>
    </w:p>
    <w:tbl>
      <w:tblPr>
        <w:tblW w:type="auto" w:w="0"/>
        <w:jc w:val="left"/>
        <w:tblBorders>
          <w:top w:val="single" w:sz="4" w:space="0" w:color="C9BFA8"/>
          <w:left w:val="single" w:sz="4" w:space="0" w:color="C9BFA8"/>
          <w:bottom w:val="single" w:sz="4" w:space="0" w:color="C9BFA8"/>
          <w:right w:val="single" w:sz="4" w:space="0" w:color="C9BFA8"/>
          <w:insideH w:val="single" w:sz="4" w:space="0" w:color="C9BFA8"/>
          <w:insideV w:val="single" w:sz="4" w:space="0" w:color="C9BFA8"/>
        </w:tblBorders>
        <w:tblLayout w:type="fixed"/>
        <w:tblLook w:firstColumn="1" w:firstRow="1" w:lastColumn="0" w:lastRow="0" w:noHBand="0" w:noVBand="1" w:val="04A0"/>
      </w:tblPr>
      <w:tblGrid>
        <w:gridCol w:w="4824"/>
        <w:gridCol w:w="4824"/>
      </w:tblGrid>
      <w:tr>
        <w:trPr>
          <w:tblHeader w:val="true"/>
        </w:trPr>
        <w:tc>
          <w:tcPr>
            <w:tcW w:type="dxa" w:w="1944"/>
            <w:shd w:val="clear" w:color="auto" w:fill="F3EFE6"/>
          </w:tcPr>
          <w:p>
            <w:pPr>
              <w:spacing w:before="60" w:after="60" w:line="264" w:lineRule="auto"/>
            </w:pPr>
            <w:r/>
            <w:r>
              <w:rPr>
                <w:b/>
                <w:i w:val="0"/>
                <w:color w:val="112345"/>
                <w:sz w:val="17"/>
              </w:rPr>
              <w:t>FIELD</w:t>
            </w:r>
          </w:p>
        </w:tc>
        <w:tc>
          <w:tcPr>
            <w:tcW w:type="dxa" w:w="7704"/>
            <w:shd w:val="clear" w:color="auto" w:fill="F3EFE6"/>
          </w:tcPr>
          <w:p>
            <w:pPr>
              <w:spacing w:before="60" w:after="60" w:line="264" w:lineRule="auto"/>
            </w:pPr>
            <w:r/>
            <w:r>
              <w:rPr>
                <w:b/>
                <w:i w:val="0"/>
                <w:color w:val="112345"/>
                <w:sz w:val="17"/>
              </w:rPr>
              <w:t>VALUE</w:t>
            </w:r>
          </w:p>
        </w:tc>
      </w:tr>
      <w:tr>
        <w:tc>
          <w:tcPr>
            <w:tcW w:type="dxa" w:w="1944"/>
          </w:tcPr>
          <w:p>
            <w:pPr>
              <w:spacing w:before="60" w:after="60" w:line="264" w:lineRule="auto"/>
            </w:pPr>
            <w:r/>
            <w:r>
              <w:rPr>
                <w:b w:val="0"/>
                <w:i w:val="0"/>
                <w:sz w:val="18"/>
              </w:rPr>
              <w:t>Watch Next</w:t>
            </w:r>
          </w:p>
        </w:tc>
        <w:tc>
          <w:tcPr>
            <w:tcW w:type="dxa" w:w="7704"/>
          </w:tcPr>
          <w:p>
            <w:pPr>
              <w:spacing w:before="60" w:after="60" w:line="264" w:lineRule="auto"/>
            </w:pPr>
            <w:r/>
            <w:r>
              <w:rPr>
                <w:b w:val="0"/>
                <w:i w:val="0"/>
                <w:sz w:val="18"/>
              </w:rPr>
              <w:t>Video 11: AI Can Do the Task. What Are You Still Paid For?</w:t>
            </w:r>
          </w:p>
        </w:tc>
      </w:tr>
      <w:tr>
        <w:tc>
          <w:tcPr>
            <w:tcW w:type="dxa" w:w="1944"/>
          </w:tcPr>
          <w:p>
            <w:pPr>
              <w:spacing w:before="60" w:after="60" w:line="264" w:lineRule="auto"/>
            </w:pPr>
            <w:r/>
            <w:r>
              <w:rPr>
                <w:b w:val="0"/>
                <w:i w:val="0"/>
                <w:sz w:val="18"/>
              </w:rPr>
              <w:t>Where that comes from</w:t>
            </w:r>
          </w:p>
        </w:tc>
        <w:tc>
          <w:tcPr>
            <w:tcW w:type="dxa" w:w="7704"/>
          </w:tcPr>
          <w:p>
            <w:pPr>
              <w:spacing w:before="60" w:after="60" w:line="264" w:lineRule="auto"/>
            </w:pPr>
            <w:r/>
            <w:r>
              <w:rPr>
                <w:b w:val="0"/>
                <w:i w:val="0"/>
                <w:sz w:val="18"/>
              </w:rPr>
              <w:t>the Watch Next card in the production deck</w:t>
            </w:r>
          </w:p>
        </w:tc>
      </w:tr>
      <w:tr>
        <w:tc>
          <w:tcPr>
            <w:tcW w:type="dxa" w:w="1944"/>
          </w:tcPr>
          <w:p>
            <w:pPr>
              <w:spacing w:before="60" w:after="60" w:line="264" w:lineRule="auto"/>
            </w:pPr>
            <w:r/>
            <w:r>
              <w:rPr>
                <w:b w:val="0"/>
                <w:i w:val="0"/>
                <w:sz w:val="18"/>
              </w:rPr>
              <w:t>Playlist</w:t>
            </w:r>
          </w:p>
        </w:tc>
        <w:tc>
          <w:tcPr>
            <w:tcW w:type="dxa" w:w="7704"/>
          </w:tcPr>
          <w:p>
            <w:pPr>
              <w:spacing w:before="60" w:after="60" w:line="264" w:lineRule="auto"/>
            </w:pPr>
            <w:r/>
            <w:r>
              <w:rPr>
                <w:b w:val="0"/>
                <w:i w:val="0"/>
                <w:sz w:val="18"/>
              </w:rPr>
              <w:t>Capability Formation: career pivots and internal moves</w:t>
            </w:r>
          </w:p>
        </w:tc>
      </w:tr>
      <w:tr>
        <w:tc>
          <w:tcPr>
            <w:tcW w:type="dxa" w:w="1944"/>
          </w:tcPr>
          <w:p>
            <w:pPr>
              <w:spacing w:before="60" w:after="60" w:line="264" w:lineRule="auto"/>
            </w:pPr>
            <w:r/>
            <w:r>
              <w:rPr>
                <w:b w:val="0"/>
                <w:i w:val="0"/>
                <w:sz w:val="18"/>
              </w:rPr>
              <w:t>End screen</w:t>
            </w:r>
          </w:p>
        </w:tc>
        <w:tc>
          <w:tcPr>
            <w:tcW w:type="dxa" w:w="7704"/>
          </w:tcPr>
          <w:p>
            <w:pPr>
              <w:spacing w:before="60" w:after="60" w:line="264" w:lineRule="auto"/>
            </w:pPr>
            <w:r/>
            <w:r>
              <w:rPr>
                <w:b w:val="0"/>
                <w:i w:val="0"/>
                <w:sz w:val="18"/>
              </w:rPr>
              <w:t>Watch Next is the final full-screen visual. The card keeps its copy on the left so a YouTube end screen can sit on the right. No return to camera afterward.</w:t>
            </w:r>
          </w:p>
        </w:tc>
      </w:tr>
    </w:tbl>
    <w:p>
      <w:pPr>
        <w:spacing w:after="120"/>
      </w:pPr>
    </w:p>
    <w:p>
      <w:pPr>
        <w:spacing w:before="320" w:after="120"/>
        <w:keepNext w:val="1"/>
        <w:keepLines w:val="1"/>
      </w:pPr>
      <w:r>
        <w:rPr>
          <w:b/>
          <w:i w:val="0"/>
          <w:color w:val="112345"/>
          <w:sz w:val="26"/>
        </w:rPr>
        <w:t>CANVA THUMBNAIL BRIEF</w:t>
      </w:r>
    </w:p>
    <w:p>
      <w:pPr>
        <w:spacing w:after="80" w:line="278" w:lineRule="auto"/>
        <w:ind w:left="547" w:hanging="230"/>
      </w:pPr>
      <w:r>
        <w:rPr>
          <w:sz w:val="21"/>
        </w:rPr>
        <w:t>•   Headline text, exactly as locked: WHAT DID YOU ACTUALLY DO?</w:t>
      </w:r>
    </w:p>
    <w:p>
      <w:pPr>
        <w:spacing w:after="80" w:line="278" w:lineRule="auto"/>
        <w:ind w:left="547" w:hanging="230"/>
      </w:pPr>
      <w:r>
        <w:rPr>
          <w:sz w:val="21"/>
        </w:rPr>
        <w:t>•   Set the headline flush left in short stacked lines, Montserrat ExtraBold, cap height 240 to 300 px on a 3840 by 2160 master.</w:t>
      </w:r>
    </w:p>
    <w:p>
      <w:pPr>
        <w:spacing w:after="80" w:line="278" w:lineRule="auto"/>
        <w:ind w:left="547" w:hanging="230"/>
      </w:pPr>
      <w:r>
        <w:rPr>
          <w:sz w:val="21"/>
        </w:rPr>
        <w:t>•   Deep navy #112345 field. Warm cream and white for the headline. Bright warm yellow as selective emphasis only, well under about 4 percent of the canvas.</w:t>
      </w:r>
    </w:p>
    <w:p>
      <w:pPr>
        <w:spacing w:after="80" w:line="278" w:lineRule="auto"/>
        <w:ind w:left="547" w:hanging="230"/>
      </w:pPr>
      <w:r>
        <w:rPr>
          <w:sz w:val="21"/>
        </w:rPr>
        <w:t>•   Large real portrait of Temidayo on the right, about 44 to 47 percent of the canvas. Natural skin tone. Use an approved real photograph.</w:t>
      </w:r>
    </w:p>
    <w:p>
      <w:pPr>
        <w:spacing w:after="80" w:line="278" w:lineRule="auto"/>
        <w:ind w:left="547" w:hanging="230"/>
      </w:pPr>
      <w:r>
        <w:rPr>
          <w:sz w:val="21"/>
        </w:rPr>
        <w:t>•   Do NOT generate, reconstruct, beautify or alter the face. Permitted on the source photograph: crop, mask, restrained exposure adjustment, color balance, background removal.</w:t>
      </w:r>
    </w:p>
    <w:p>
      <w:pPr>
        <w:spacing w:after="80" w:line="278" w:lineRule="auto"/>
        <w:ind w:left="547" w:hanging="230"/>
      </w:pPr>
      <w:r>
        <w:rPr>
          <w:sz w:val="21"/>
        </w:rPr>
        <w:t>•   No clutter, no tiny text, no fake icons, no AI-looking people, no numbers and no implied statistic.</w:t>
      </w:r>
    </w:p>
    <w:p>
      <w:pPr>
        <w:spacing w:after="80" w:line="278" w:lineRule="auto"/>
        <w:ind w:left="547" w:hanging="230"/>
      </w:pPr>
      <w:r>
        <w:rPr>
          <w:sz w:val="21"/>
        </w:rPr>
        <w:t>•   Keep the portrait layer and the text layer editable and separate.</w:t>
      </w:r>
    </w:p>
    <w:p>
      <w:pPr>
        <w:spacing w:after="80" w:line="278" w:lineRule="auto"/>
        <w:ind w:left="547" w:hanging="230"/>
      </w:pPr>
      <w:r>
        <w:rPr>
          <w:sz w:val="21"/>
        </w:rPr>
        <w:t>•   Must be legible at 200 px wide, which is the recommendation-column size.</w:t>
      </w:r>
    </w:p>
    <w:p>
      <w:pPr>
        <w:spacing w:after="80" w:line="278" w:lineRule="auto"/>
        <w:ind w:left="547" w:hanging="230"/>
      </w:pPr>
      <w:r>
        <w:rPr>
          <w:sz w:val="21"/>
        </w:rPr>
        <w:t>•   Export a 3840 by 2160 PNG master and a 1280 by 720 JPG for upload, quality 95, under 2 MB.</w:t>
      </w:r>
    </w:p>
    <w:p>
      <w:pPr>
        <w:spacing w:after="80" w:line="278" w:lineRule="auto"/>
        <w:ind w:left="547" w:hanging="230"/>
      </w:pPr>
      <w:r>
        <w:rPr>
          <w:sz w:val="21"/>
        </w:rPr>
        <w:t>•   Artwork is approved separately. This brief does not authorize a finished thumbnail.</w:t>
      </w:r>
    </w:p>
    <w:p>
      <w:pPr>
        <w:spacing w:before="320" w:after="120"/>
        <w:keepNext w:val="1"/>
        <w:keepLines w:val="1"/>
      </w:pPr>
      <w:r>
        <w:rPr>
          <w:b/>
          <w:i w:val="0"/>
          <w:color w:val="112345"/>
          <w:sz w:val="26"/>
        </w:rPr>
        <w:t>PUBLICATION AND LINK CHECKLIST</w:t>
      </w:r>
    </w:p>
    <w:p>
      <w:pPr>
        <w:spacing w:after="100" w:line="278" w:lineRule="auto"/>
        <w:ind w:left="490" w:hanging="490"/>
      </w:pPr>
      <w:r>
        <w:rPr>
          <w:b/>
          <w:sz w:val="21"/>
        </w:rPr>
        <w:t xml:space="preserve">1.   </w:t>
      </w:r>
      <w:r>
        <w:rPr>
          <w:sz w:val="21"/>
        </w:rPr>
        <w:t>Thumbnail artwork approved separately, and checked at 200 px wide.</w:t>
      </w:r>
    </w:p>
    <w:p>
      <w:pPr>
        <w:spacing w:after="100" w:line="278" w:lineRule="auto"/>
        <w:ind w:left="490" w:hanging="490"/>
      </w:pPr>
      <w:r>
        <w:rPr>
          <w:b/>
          <w:sz w:val="21"/>
        </w:rPr>
        <w:t xml:space="preserve">2.   </w:t>
      </w:r>
      <w:r>
        <w:rPr>
          <w:sz w:val="21"/>
        </w:rPr>
        <w:t>Title and thumbnail wording match the locked master exactly.</w:t>
      </w:r>
    </w:p>
    <w:p>
      <w:pPr>
        <w:spacing w:after="100" w:line="278" w:lineRule="auto"/>
        <w:ind w:left="490" w:hanging="490"/>
      </w:pPr>
      <w:r>
        <w:rPr>
          <w:b/>
          <w:sz w:val="21"/>
        </w:rPr>
        <w:t xml:space="preserve">3.   </w:t>
      </w:r>
      <w:r>
        <w:rPr>
          <w:sz w:val="21"/>
        </w:rPr>
        <w:t>Description resource link tested while signed out.</w:t>
      </w:r>
    </w:p>
    <w:p>
      <w:pPr>
        <w:spacing w:after="100" w:line="278" w:lineRule="auto"/>
        <w:ind w:left="490" w:hanging="490"/>
      </w:pPr>
      <w:r>
        <w:rPr>
          <w:b/>
          <w:sz w:val="21"/>
        </w:rPr>
        <w:t xml:space="preserve">4.   </w:t>
      </w:r>
      <w:r>
        <w:rPr>
          <w:sz w:val="21"/>
        </w:rPr>
        <w:t>Watch Next URL inserted once that video is published. Not before.</w:t>
      </w:r>
    </w:p>
    <w:p>
      <w:pPr>
        <w:spacing w:after="100" w:line="278" w:lineRule="auto"/>
        <w:ind w:left="490" w:hanging="490"/>
      </w:pPr>
      <w:r>
        <w:rPr>
          <w:b/>
          <w:sz w:val="21"/>
        </w:rPr>
        <w:t xml:space="preserve">5.   </w:t>
      </w:r>
      <w:r>
        <w:rPr>
          <w:sz w:val="21"/>
        </w:rPr>
        <w:t>Captions: no burned-in subtitles on the export. SRT uploaded, generated from the final edited timeline.</w:t>
      </w:r>
    </w:p>
    <w:p>
      <w:pPr>
        <w:spacing w:after="100" w:line="278" w:lineRule="auto"/>
        <w:ind w:left="490" w:hanging="490"/>
      </w:pPr>
      <w:r>
        <w:rPr>
          <w:b/>
          <w:sz w:val="21"/>
        </w:rPr>
        <w:t xml:space="preserve">6.   </w:t>
      </w:r>
      <w:r>
        <w:rPr>
          <w:sz w:val="21"/>
        </w:rPr>
        <w:t>Chapters written from the actual final export. None exist yet.</w:t>
      </w:r>
    </w:p>
    <w:p>
      <w:pPr>
        <w:spacing w:after="100" w:line="278" w:lineRule="auto"/>
        <w:ind w:left="490" w:hanging="490"/>
      </w:pPr>
      <w:r>
        <w:rPr>
          <w:b/>
          <w:sz w:val="21"/>
        </w:rPr>
        <w:t xml:space="preserve">7.   </w:t>
      </w:r>
      <w:r>
        <w:rPr>
          <w:sz w:val="21"/>
        </w:rPr>
        <w:t>Music attribution completed from the actual track used. None is recorded here.</w:t>
      </w:r>
    </w:p>
    <w:p>
      <w:pPr>
        <w:spacing w:after="100" w:line="278" w:lineRule="auto"/>
        <w:ind w:left="490" w:hanging="490"/>
      </w:pPr>
      <w:r>
        <w:rPr>
          <w:b/>
          <w:sz w:val="21"/>
        </w:rPr>
        <w:t xml:space="preserve">8.   </w:t>
      </w:r>
      <w:r>
        <w:rPr>
          <w:sz w:val="21"/>
        </w:rPr>
        <w:t>End screen configured so it does not cover the Watch Next copy.</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A6B82"/>
        <w:sz w:val="16"/>
      </w:rPr>
      <w:t>Video 17 publishing materials  |  copy taken from the locked final master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83"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