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18</w:t>
      </w:r>
    </w:p>
    <w:p>
      <w:pPr>
        <w:spacing w:before="0" w:after="80"/>
      </w:pPr>
      <w:r>
        <w:rPr>
          <w:b/>
          <w:i w:val="0"/>
          <w:color w:val="112345"/>
          <w:sz w:val="42"/>
        </w:rPr>
        <w:t>Publishing Materials</w:t>
      </w:r>
    </w:p>
    <w:p>
      <w:pPr>
        <w:spacing w:before="0" w:after="280"/>
      </w:pPr>
      <w:r>
        <w:rPr>
          <w:b w:val="0"/>
          <w:i w:val="0"/>
          <w:color w:val="5A6B82"/>
          <w:sz w:val="20"/>
        </w:rPr>
        <w:t>Should You Stay an Individual Contributor or Become a Manager?</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Source  </w:t>
      </w:r>
      <w:r>
        <w:rPr>
          <w:sz w:val="21"/>
        </w:rPr>
        <w:t>Video_18_FINAL_Regular_Length_Recording_Master.docx  ·  SHA-256 f0195cce6337cd9c55864c6577d46e361082d4d526cb895882aa91c42c73b91e</w:t>
      </w:r>
    </w:p>
    <w:p>
      <w:pPr>
        <w:spacing w:before="200" w:after="200"/>
        <w:ind w:left="216"/>
        <w:pBdr>
          <w:left w:val="single" w:sz="18" w:color="9B2C10" w:space="8"/>
        </w:pBdr>
        <w:keepNext w:val="1"/>
        <w:keepLines w:val="1"/>
      </w:pPr>
      <w:r>
        <w:rPr>
          <w:b/>
          <w:color w:val="9B2C10"/>
          <w:sz w:val="21"/>
        </w:rPr>
        <w:t>The title and the thumbnail wording are taken from the locked master and are not restyled here.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Should You Stay an Individual Contributor or Become a Manager?</w:t>
      </w:r>
    </w:p>
    <w:p>
      <w:pPr>
        <w:spacing w:before="320" w:after="120"/>
        <w:keepNext w:val="1"/>
        <w:keepLines w:val="1"/>
      </w:pPr>
      <w:r>
        <w:rPr>
          <w:b/>
          <w:i w:val="0"/>
          <w:color w:val="112345"/>
          <w:sz w:val="26"/>
        </w:rPr>
        <w:t>THUMBNAIL TEXT</w:t>
      </w:r>
    </w:p>
    <w:p>
      <w:pPr>
        <w:spacing w:before="0" w:after="160"/>
      </w:pPr>
      <w:r>
        <w:rPr>
          <w:b/>
          <w:i w:val="0"/>
          <w:color w:val="112345"/>
          <w:sz w:val="26"/>
        </w:rPr>
        <w:t>TWO DIFFERENT JOBS</w:t>
      </w:r>
    </w:p>
    <w:p>
      <w:pPr>
        <w:spacing w:before="320" w:after="120"/>
        <w:keepNext w:val="1"/>
        <w:keepLines w:val="1"/>
      </w:pPr>
      <w:r>
        <w:rPr>
          <w:b/>
          <w:i w:val="0"/>
          <w:color w:val="112345"/>
          <w:sz w:val="26"/>
        </w:rPr>
        <w:t>DESCRIPTION</w:t>
      </w:r>
    </w:p>
    <w:p>
      <w:pPr>
        <w:spacing w:before="0" w:after="160"/>
      </w:pPr>
      <w:r>
        <w:rPr>
          <w:b w:val="0"/>
          <w:i w:val="0"/>
          <w:sz w:val="22"/>
        </w:rPr>
        <w:t>Management is often offered as a reward. It is not a reward. It is a different job.</w:t>
      </w:r>
    </w:p>
    <w:p>
      <w:pPr>
        <w:spacing w:before="0" w:after="160"/>
      </w:pPr>
      <w:r>
        <w:rPr>
          <w:b w:val="0"/>
          <w:i w:val="0"/>
          <w:sz w:val="22"/>
        </w:rPr>
        <w:t>This video separates five things that get bundled together and do not reliably move together: scope, responsibility, compensation, authority, and people management.</w:t>
      </w:r>
    </w:p>
    <w:p>
      <w:pPr>
        <w:spacing w:before="0" w:after="160"/>
      </w:pPr>
      <w:r>
        <w:rPr>
          <w:b w:val="0"/>
          <w:i w:val="0"/>
          <w:sz w:val="22"/>
        </w:rPr>
        <w:t>Then four questions to ask before you answer. What does the job consume? Does the other path really exist here? What authority comes with it? And can you come back?</w:t>
      </w:r>
    </w:p>
    <w:p>
      <w:pPr>
        <w:spacing w:before="0" w:after="160"/>
      </w:pPr>
      <w:r>
        <w:rPr>
          <w:b w:val="0"/>
          <w:i w:val="0"/>
          <w:sz w:val="22"/>
        </w:rPr>
        <w:t>It stays two-sided. Some organizations genuinely cap individual contributors, and that is information you need rather than encouragement or discouragement.</w:t>
      </w:r>
    </w:p>
    <w:p>
      <w:pPr>
        <w:spacing w:before="200" w:after="80"/>
      </w:pPr>
      <w:r>
        <w:rPr>
          <w:b/>
          <w:i w:val="0"/>
          <w:color w:val="8A6D1E"/>
          <w:sz w:val="18"/>
        </w:rPr>
        <w:t>RESOURCE LINE, paste as the last block:</w:t>
      </w:r>
    </w:p>
    <w:p>
      <w:pPr>
        <w:spacing w:before="0" w:after="160"/>
      </w:pPr>
      <w:r>
        <w:rPr>
          <w:b/>
          <w:i w:val="0"/>
          <w:sz w:val="22"/>
        </w:rPr>
        <w:t>Career Decision Evidence Check: https://temidayoafonja.com/career-decisions</w:t>
      </w:r>
    </w:p>
    <w:p>
      <w:pPr>
        <w:spacing w:before="0" w:after="160"/>
      </w:pPr>
      <w:r>
        <w:rPr>
          <w:b w:val="0"/>
          <w:i w:val="0"/>
          <w:color w:val="5A6B82"/>
          <w:sz w:val="20"/>
        </w:rPr>
        <w:t>WATCH NEXT LINE: Video 16: What to Do When Your Work Is Valued but You Are Overlooked</w:t>
      </w:r>
    </w:p>
    <w:p>
      <w:pPr>
        <w:spacing w:before="0" w:after="160"/>
      </w:pPr>
      <w:r>
        <w:rPr>
          <w:b w:val="0"/>
          <w:i w:val="0"/>
          <w:color w:val="9B2C10"/>
          <w:sz w:val="20"/>
        </w:rPr>
        <w:t>[PLACEHOLDER] Insert the Watch Next video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Before you answer the offer, ask four questions.</w:t>
        <w:br/>
        <w:t>What does the job consume? Does the other path really exist here? What authority comes with it? Can you come back?</w:t>
      </w:r>
    </w:p>
    <w:p>
      <w:pPr>
        <w:spacing w:before="0" w:after="160"/>
      </w:pPr>
      <w:r>
        <w:rPr>
          <w:b w:val="0"/>
          <w:i w:val="0"/>
          <w:sz w:val="22"/>
        </w:rPr>
        <w:t>And ask for names. If nobody can name a person on the senior individual track, that path may exist on a slide and nowhere else.</w:t>
      </w:r>
    </w:p>
    <w:p>
      <w:pPr>
        <w:spacing w:before="320" w:after="120"/>
        <w:keepNext w:val="1"/>
        <w:keepLines w:val="1"/>
      </w:pPr>
      <w:r>
        <w:rPr>
          <w:b/>
          <w:i w:val="0"/>
          <w:color w:val="112345"/>
          <w:sz w:val="26"/>
        </w:rPr>
        <w:t>TAGS</w:t>
      </w:r>
    </w:p>
    <w:p>
      <w:pPr>
        <w:spacing w:before="0" w:after="160"/>
      </w:pPr>
      <w:r>
        <w:rPr>
          <w:b w:val="0"/>
          <w:i w:val="0"/>
          <w:sz w:val="22"/>
        </w:rPr>
        <w:t>individual contributor, should I become a manager, management career, career decision, IC vs manager, career path, promotion decision, experienced professionals, senior individual contributor, career strategy, mid career, people management</w:t>
      </w:r>
    </w:p>
    <w:p>
      <w:pPr>
        <w:spacing w:before="320" w:after="120"/>
        <w:keepNext w:val="1"/>
        <w:keepLines w:val="1"/>
      </w:pPr>
      <w:r>
        <w:rPr>
          <w:b/>
          <w:i w:val="0"/>
          <w:color w:val="112345"/>
          <w:sz w:val="26"/>
        </w:rPr>
        <w:t>HASHTAGS</w:t>
      </w:r>
    </w:p>
    <w:p>
      <w:pPr>
        <w:spacing w:before="0" w:after="160"/>
      </w:pPr>
      <w:r>
        <w:rPr>
          <w:b/>
          <w:i w:val="0"/>
          <w:sz w:val="24"/>
        </w:rPr>
        <w:t>#CareerDecisions  #IndividualContributor  #CapabilityFormation</w:t>
      </w:r>
    </w:p>
    <w:p>
      <w:pPr>
        <w:spacing w:before="320" w:after="120"/>
        <w:keepNext w:val="1"/>
        <w:keepLines w:val="1"/>
      </w:pPr>
      <w:r>
        <w:rPr>
          <w:b/>
          <w:i w:val="0"/>
          <w:color w:val="112345"/>
          <w:sz w:val="26"/>
        </w:rPr>
        <w:t>RESOURCE ROUTE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RESOURCE</w:t>
            </w:r>
          </w:p>
        </w:tc>
        <w:tc>
          <w:tcPr>
            <w:tcW w:type="dxa" w:w="3024"/>
            <w:shd w:val="clear" w:color="auto" w:fill="F3EFE6"/>
          </w:tcPr>
          <w:p>
            <w:pPr>
              <w:spacing w:before="60" w:after="60" w:line="264" w:lineRule="auto"/>
            </w:pPr>
            <w:r/>
            <w:r>
              <w:rPr>
                <w:b/>
                <w:i w:val="0"/>
                <w:color w:val="112345"/>
                <w:sz w:val="17"/>
              </w:rPr>
              <w:t>WHERE IT LIVES</w:t>
            </w:r>
          </w:p>
        </w:tc>
        <w:tc>
          <w:tcPr>
            <w:tcW w:type="dxa" w:w="3888"/>
            <w:shd w:val="clear" w:color="auto" w:fill="F3EFE6"/>
          </w:tcPr>
          <w:p>
            <w:pPr>
              <w:spacing w:before="60" w:after="60" w:line="264" w:lineRule="auto"/>
            </w:pPr>
            <w:r/>
            <w:r>
              <w:rPr>
                <w:b/>
                <w:i w:val="0"/>
                <w:color w:val="112345"/>
                <w:sz w:val="17"/>
              </w:rPr>
              <w:t>HOW IT IS USED</w:t>
            </w:r>
          </w:p>
        </w:tc>
      </w:tr>
      <w:tr>
        <w:tc>
          <w:tcPr>
            <w:tcW w:type="dxa" w:w="2736"/>
          </w:tcPr>
          <w:p>
            <w:pPr>
              <w:spacing w:before="60" w:after="60" w:line="264" w:lineRule="auto"/>
            </w:pPr>
            <w:r/>
            <w:r>
              <w:rPr>
                <w:b w:val="0"/>
                <w:i w:val="0"/>
                <w:sz w:val="18"/>
              </w:rPr>
              <w:t>Career Decision Evidence Check</w:t>
            </w:r>
          </w:p>
        </w:tc>
        <w:tc>
          <w:tcPr>
            <w:tcW w:type="dxa" w:w="3024"/>
          </w:tcPr>
          <w:p>
            <w:pPr>
              <w:spacing w:before="60" w:after="60" w:line="264" w:lineRule="auto"/>
            </w:pPr>
            <w:r/>
            <w:r>
              <w:rPr>
                <w:b w:val="0"/>
                <w:i w:val="0"/>
                <w:sz w:val="18"/>
              </w:rPr>
              <w:t>temidayoafonja.com/career-decisions</w:t>
            </w:r>
          </w:p>
        </w:tc>
        <w:tc>
          <w:tcPr>
            <w:tcW w:type="dxa" w:w="3888"/>
          </w:tcPr>
          <w:p>
            <w:pPr>
              <w:spacing w:before="60" w:after="60" w:line="264" w:lineRule="auto"/>
            </w:pPr>
            <w:r/>
            <w:r>
              <w:rPr>
                <w:b w:val="0"/>
                <w:i w:val="0"/>
                <w:sz w:val="18"/>
              </w:rPr>
              <w:t>Named once in the script, after the teaching. One primary CTA. No second offer is added.</w:t>
            </w:r>
          </w:p>
        </w:tc>
      </w:tr>
    </w:tbl>
    <w:p>
      <w:pPr>
        <w:spacing w:after="120"/>
      </w:pP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Video 16: What to Do When Your Work Is Valued but You Are Overlooked</w:t>
            </w:r>
          </w:p>
        </w:tc>
      </w:tr>
      <w:tr>
        <w:tc>
          <w:tcPr>
            <w:tcW w:type="dxa" w:w="1944"/>
          </w:tcPr>
          <w:p>
            <w:pPr>
              <w:spacing w:before="60" w:after="60" w:line="264" w:lineRule="auto"/>
            </w:pPr>
            <w:r/>
            <w:r>
              <w:rPr>
                <w:b w:val="0"/>
                <w:i w:val="0"/>
                <w:sz w:val="18"/>
              </w:rPr>
              <w:t>Where that comes from</w:t>
            </w:r>
          </w:p>
        </w:tc>
        <w:tc>
          <w:tcPr>
            <w:tcW w:type="dxa" w:w="7704"/>
          </w:tcPr>
          <w:p>
            <w:pPr>
              <w:spacing w:before="60" w:after="60" w:line="264" w:lineRule="auto"/>
            </w:pPr>
            <w:r/>
            <w:r>
              <w:rPr>
                <w:b w:val="0"/>
                <w:i w:val="0"/>
                <w:sz w:val="18"/>
              </w:rPr>
              <w:t>the Watch Next card in the production deck</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The card keeps its copy on the left so a YouTube end screen can sit on the right. No return to camera afterward.</w:t>
            </w:r>
          </w:p>
        </w:tc>
      </w:tr>
    </w:tbl>
    <w:p>
      <w:pPr>
        <w:spacing w:after="120"/>
      </w:pPr>
    </w:p>
    <w:p>
      <w:pPr>
        <w:spacing w:before="320" w:after="120"/>
        <w:keepNext w:val="1"/>
        <w:keepLines w:val="1"/>
      </w:pPr>
      <w:r>
        <w:rPr>
          <w:b/>
          <w:i w:val="0"/>
          <w:color w:val="112345"/>
          <w:sz w:val="26"/>
        </w:rPr>
        <w:t>CANVA THUMBNAIL BRIEF</w:t>
      </w:r>
    </w:p>
    <w:p>
      <w:pPr>
        <w:spacing w:after="80" w:line="278" w:lineRule="auto"/>
        <w:ind w:left="547" w:hanging="230"/>
      </w:pPr>
      <w:r>
        <w:rPr>
          <w:sz w:val="21"/>
        </w:rPr>
        <w:t>•   Headline text, exactly as locked: TWO DIFFERENT JOBS</w:t>
      </w:r>
    </w:p>
    <w:p>
      <w:pPr>
        <w:spacing w:after="80" w:line="278" w:lineRule="auto"/>
        <w:ind w:left="547" w:hanging="230"/>
      </w:pPr>
      <w:r>
        <w:rPr>
          <w:sz w:val="21"/>
        </w:rPr>
        <w:t>•   Set the headline flush left in short stacked lines, Montserrat ExtraBold, cap height 240 to 300 px on a 3840 by 2160 master.</w:t>
      </w:r>
    </w:p>
    <w:p>
      <w:pPr>
        <w:spacing w:after="80" w:line="278" w:lineRule="auto"/>
        <w:ind w:left="547" w:hanging="230"/>
      </w:pPr>
      <w:r>
        <w:rPr>
          <w:sz w:val="21"/>
        </w:rPr>
        <w:t>•   Deep navy #112345 field. Warm cream and white for the headline. Bright warm yellow as selective emphasis only, well under about 4 percent of the canvas.</w:t>
      </w:r>
    </w:p>
    <w:p>
      <w:pPr>
        <w:spacing w:after="80" w:line="278" w:lineRule="auto"/>
        <w:ind w:left="547" w:hanging="230"/>
      </w:pPr>
      <w:r>
        <w:rPr>
          <w:sz w:val="21"/>
        </w:rPr>
        <w:t>•   Large real portrait of Temidayo on the right, about 44 to 47 percent of the canvas. Natural skin tone. Use an approved real photograph.</w:t>
      </w:r>
    </w:p>
    <w:p>
      <w:pPr>
        <w:spacing w:after="80" w:line="278" w:lineRule="auto"/>
        <w:ind w:left="547" w:hanging="230"/>
      </w:pPr>
      <w:r>
        <w:rPr>
          <w:sz w:val="21"/>
        </w:rPr>
        <w:t>•   Do NOT generate, reconstruct, beautify or alter the face. Permitted on the source photograph: crop, mask, restrained exposure adjustment, color balance, background removal.</w:t>
      </w:r>
    </w:p>
    <w:p>
      <w:pPr>
        <w:spacing w:after="80" w:line="278" w:lineRule="auto"/>
        <w:ind w:left="547" w:hanging="230"/>
      </w:pPr>
      <w:r>
        <w:rPr>
          <w:sz w:val="21"/>
        </w:rPr>
        <w:t>•   No clutter, no tiny text, no fake icons, no AI-looking people, no numbers and no implied statistic.</w:t>
      </w:r>
    </w:p>
    <w:p>
      <w:pPr>
        <w:spacing w:after="80" w:line="278" w:lineRule="auto"/>
        <w:ind w:left="547" w:hanging="230"/>
      </w:pPr>
      <w:r>
        <w:rPr>
          <w:sz w:val="21"/>
        </w:rPr>
        <w:t>•   Keep the portrait layer and the text layer editable and separate.</w:t>
      </w:r>
    </w:p>
    <w:p>
      <w:pPr>
        <w:spacing w:after="80" w:line="278" w:lineRule="auto"/>
        <w:ind w:left="547" w:hanging="230"/>
      </w:pPr>
      <w:r>
        <w:rPr>
          <w:sz w:val="21"/>
        </w:rPr>
        <w:t>•   Must be legible at 200 px wide, which is the recommendation-column size.</w:t>
      </w:r>
    </w:p>
    <w:p>
      <w:pPr>
        <w:spacing w:after="80" w:line="278" w:lineRule="auto"/>
        <w:ind w:left="547" w:hanging="230"/>
      </w:pPr>
      <w:r>
        <w:rPr>
          <w:sz w:val="21"/>
        </w:rPr>
        <w:t>•   Export a 3840 by 2160 PNG master and a 1280 by 720 JPG for upload, quality 95, under 2 MB.</w:t>
      </w:r>
    </w:p>
    <w:p>
      <w:pPr>
        <w:spacing w:after="80" w:line="278" w:lineRule="auto"/>
        <w:ind w:left="547" w:hanging="230"/>
      </w:pPr>
      <w:r>
        <w:rPr>
          <w:sz w:val="21"/>
        </w:rPr>
        <w:t>•   Artwork is approved separately. This brief does not authorize a finished thumbnail.</w:t>
      </w:r>
    </w:p>
    <w:p>
      <w:pPr>
        <w:spacing w:before="320" w:after="120"/>
        <w:keepNext w:val="1"/>
        <w:keepLines w:val="1"/>
      </w:pPr>
      <w:r>
        <w:rPr>
          <w:b/>
          <w:i w:val="0"/>
          <w:color w:val="112345"/>
          <w:sz w:val="26"/>
        </w:rPr>
        <w:t>PUBLICATION AND LINK CHECKLIST</w:t>
      </w:r>
    </w:p>
    <w:p>
      <w:pPr>
        <w:spacing w:after="100" w:line="278" w:lineRule="auto"/>
        <w:ind w:left="490" w:hanging="490"/>
      </w:pPr>
      <w:r>
        <w:rPr>
          <w:b/>
          <w:sz w:val="21"/>
        </w:rPr>
        <w:t xml:space="preserve">1.   </w:t>
      </w:r>
      <w:r>
        <w:rPr>
          <w:sz w:val="21"/>
        </w:rPr>
        <w:t>Thumbnail artwork approved separately, and checked at 200 px wide.</w:t>
      </w:r>
    </w:p>
    <w:p>
      <w:pPr>
        <w:spacing w:after="100" w:line="278" w:lineRule="auto"/>
        <w:ind w:left="490" w:hanging="490"/>
      </w:pPr>
      <w:r>
        <w:rPr>
          <w:b/>
          <w:sz w:val="21"/>
        </w:rPr>
        <w:t xml:space="preserve">2.   </w:t>
      </w:r>
      <w:r>
        <w:rPr>
          <w:sz w:val="21"/>
        </w:rPr>
        <w:t>Title and thumbnail wording match the locked master exactly.</w:t>
      </w:r>
    </w:p>
    <w:p>
      <w:pPr>
        <w:spacing w:after="100" w:line="278" w:lineRule="auto"/>
        <w:ind w:left="490" w:hanging="490"/>
      </w:pPr>
      <w:r>
        <w:rPr>
          <w:b/>
          <w:sz w:val="21"/>
        </w:rPr>
        <w:t xml:space="preserve">3.   </w:t>
      </w:r>
      <w:r>
        <w:rPr>
          <w:sz w:val="21"/>
        </w:rPr>
        <w:t>Description resource link tested while signed out.</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on the export. SRT uploaded, generated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completed from the actual track used. None is recorded here.</w:t>
      </w:r>
    </w:p>
    <w:p>
      <w:pPr>
        <w:spacing w:after="100" w:line="278" w:lineRule="auto"/>
        <w:ind w:left="490" w:hanging="490"/>
      </w:pPr>
      <w:r>
        <w:rPr>
          <w:b/>
          <w:sz w:val="21"/>
        </w:rPr>
        <w:t xml:space="preserve">8.   </w:t>
      </w:r>
      <w:r>
        <w:rPr>
          <w:sz w:val="21"/>
        </w:rPr>
        <w:t>End screen configured so it does not cover the Watch Next copy.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18 publishing materials  |  copy taken from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