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20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Six categories instead of behind on everything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Before the applications, sort what you have into six categories.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Before the applications, sort what you have into six categories.</w:t>
      </w:r>
    </w:p>
    <w:p>
      <w:pPr>
        <w:spacing w:before="0" w:after="200" w:line="322" w:lineRule="auto"/>
      </w:pPr>
      <w:r>
        <w:rPr>
          <w:sz w:val="25"/>
        </w:rPr>
        <w:t>What stayed current. Some things do not decay. How you read a room, how you structure a problem, what good work looks like.</w:t>
      </w:r>
    </w:p>
    <w:p>
      <w:pPr>
        <w:spacing w:before="0" w:after="200" w:line="322" w:lineRule="auto"/>
      </w:pPr>
      <w:r>
        <w:rPr>
          <w:sz w:val="25"/>
        </w:rPr>
        <w:t>What decayed. The particular system you have not touched. The pace of a workday you have not kept for a while.</w:t>
      </w:r>
    </w:p>
    <w:p>
      <w:pPr>
        <w:spacing w:before="0" w:after="200" w:line="322" w:lineRule="auto"/>
      </w:pPr>
      <w:r>
        <w:rPr>
          <w:sz w:val="25"/>
        </w:rPr>
        <w:t>What changed in the field while you were away. That is different from decay. The thing itself moved.</w:t>
      </w:r>
    </w:p>
    <w:p>
      <w:pPr>
        <w:spacing w:before="0" w:after="200" w:line="322" w:lineRule="auto"/>
      </w:pPr>
      <w:r>
        <w:rPr>
          <w:sz w:val="25"/>
        </w:rPr>
        <w:t>What changed in your circumstances. That decides which routes are actually open to you.</w:t>
      </w:r>
    </w:p>
    <w:p>
      <w:pPr>
        <w:spacing w:before="0" w:after="200" w:line="322" w:lineRule="auto"/>
      </w:pPr>
      <w:r>
        <w:rPr>
          <w:sz w:val="25"/>
        </w:rPr>
        <w:t>What is unproven rather than absent. And what genuinely has to be rebuilt.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capability into one of the six.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Six categories filling one at a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the six categories.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20 Short  |  v20_a3_six_categories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