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20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Decay and change are different problems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you come back, separate two things that feel identical.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you come back, separate two things that feel identical.</w:t>
      </w:r>
    </w:p>
    <w:p>
      <w:pPr>
        <w:spacing w:before="0" w:after="200" w:line="322" w:lineRule="auto"/>
      </w:pPr>
      <w:r>
        <w:rPr>
          <w:sz w:val="25"/>
        </w:rPr>
        <w:t>Decay is something you once used and have not practiced recently. A system. A process. A pace.</w:t>
      </w:r>
    </w:p>
    <w:p>
      <w:pPr>
        <w:spacing w:before="0" w:after="200" w:line="322" w:lineRule="auto"/>
      </w:pPr>
      <w:r>
        <w:rPr>
          <w:sz w:val="25"/>
        </w:rPr>
        <w:t>Change is when the field itself moved while you were away. New tools. New expectations. New operating assumptions.</w:t>
      </w:r>
    </w:p>
    <w:p>
      <w:pPr>
        <w:spacing w:before="0" w:after="200" w:line="322" w:lineRule="auto"/>
      </w:pPr>
      <w:r>
        <w:rPr>
          <w:sz w:val="25"/>
        </w:rPr>
        <w:t>Those are different problems.</w:t>
      </w:r>
    </w:p>
    <w:p>
      <w:pPr>
        <w:spacing w:before="0" w:after="200" w:line="322" w:lineRule="auto"/>
      </w:pPr>
      <w:r>
        <w:rPr>
          <w:sz w:val="25"/>
        </w:rPr>
        <w:t>Both are worth naming separately, because what decayed is about you and what changed is about the field.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one thing that decayed and one thing that changed.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labels, then their shared response.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needs updating.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20 Short  |  v20_b2_decay_vs_change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