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Some of it you read. Some of it you practice.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 parts of a new industry can be read. Requirements, documentation, domain facts, formal processes.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 parts of a new industry can be read. Requirements, documentation, domain facts, formal processes.</w:t>
      </w:r>
    </w:p>
    <w:p>
      <w:pPr>
        <w:spacing w:before="0" w:after="200" w:line="322" w:lineRule="auto"/>
      </w:pPr>
      <w:r>
        <w:rPr>
          <w:sz w:val="25"/>
        </w:rPr>
        <w:t>Set aside real time for those, because it is the fastest return available.</w:t>
      </w:r>
    </w:p>
    <w:p>
      <w:pPr>
        <w:spacing w:before="0" w:after="200" w:line="322" w:lineRule="auto"/>
      </w:pPr>
      <w:r>
        <w:rPr>
          <w:sz w:val="25"/>
        </w:rPr>
        <w:t>Some parts need exposure, feedback, and practice in the actual environment.</w:t>
      </w:r>
    </w:p>
    <w:p>
      <w:pPr>
        <w:spacing w:before="0" w:after="200" w:line="322" w:lineRule="auto"/>
      </w:pPr>
      <w:r>
        <w:rPr>
          <w:sz w:val="25"/>
        </w:rPr>
        <w:t>Relationships, exception logic, and local decision-making are usually in that group.</w:t>
      </w:r>
    </w:p>
    <w:p>
      <w:pPr>
        <w:spacing w:before="0" w:after="200" w:line="322" w:lineRule="auto"/>
      </w:pPr>
      <w:r>
        <w:rPr>
          <w:sz w:val="25"/>
        </w:rPr>
        <w:t>Do not treat the second group as proof that you made the wrong move simply because it takes time to 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Start the readable items this week.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columns sorting the five layers by how they are learned.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read it or practice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Short  |  v21_b2_read_or_practice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