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CAPABILITY FORMATION | YOUTUBE</w:t>
      </w:r>
    </w:p>
    <w:p>
      <w:pPr>
        <w:jc w:val="center"/>
      </w:pPr>
      <w:r>
        <w:rPr>
          <w:b/>
          <w:sz w:val="34"/>
        </w:rPr>
        <w:t>I Was First in 3 New Roles in 5 Years. Here's What I Stopped Doing.</w:t>
      </w:r>
    </w:p>
    <w:p>
      <w:pPr>
        <w:jc w:val="center"/>
      </w:pPr>
      <w:r>
        <w:rPr>
          <w:i/>
          <w:sz w:val="18"/>
        </w:rPr>
        <w:t>5-MINUTE TEST RECORDING MASTER | Friday, September 11, 2026 | 2:30 PM CT</w:t>
      </w:r>
    </w:p>
    <w:tbl>
      <w:tblPr>
        <w:tblStyle w:val="TableGrid"/>
        <w:tblW w:type="auto" w:w="0"/>
        <w:tblLook w:firstColumn="1" w:firstRow="1" w:lastColumn="0" w:lastRow="0" w:noHBand="0" w:noVBand="1" w:val="04A0"/>
      </w:tblPr>
      <w:tblGrid>
        <w:gridCol w:w="5112"/>
        <w:gridCol w:w="5112"/>
      </w:tblGrid>
      <w:tr>
        <w:tc>
          <w:tcPr>
            <w:tcW w:type="dxa" w:w="5112"/>
          </w:tcPr>
          <w:p>
            <w:r>
              <w:t>Title</w:t>
            </w:r>
          </w:p>
        </w:tc>
        <w:tc>
          <w:tcPr>
            <w:tcW w:type="dxa" w:w="5112"/>
          </w:tcPr>
          <w:p>
            <w:r>
              <w:t>I Was First in 3 New Roles in 5 Years. Here's What I Stopped Doing.</w:t>
            </w:r>
          </w:p>
        </w:tc>
      </w:tr>
      <w:tr>
        <w:tc>
          <w:tcPr>
            <w:tcW w:type="dxa" w:w="5112"/>
          </w:tcPr>
          <w:p>
            <w:r>
              <w:t>Thumbnail</w:t>
            </w:r>
          </w:p>
        </w:tc>
        <w:tc>
          <w:tcPr>
            <w:tcW w:type="dxa" w:w="5112"/>
          </w:tcPr>
          <w:p>
            <w:r>
              <w:t>I'D NEVER HELD THE ROLE</w:t>
            </w:r>
          </w:p>
        </w:tc>
      </w:tr>
      <w:tr>
        <w:tc>
          <w:tcPr>
            <w:tcW w:type="dxa" w:w="5112"/>
          </w:tcPr>
          <w:p>
            <w:r>
              <w:t>Target runtime</w:t>
            </w:r>
          </w:p>
        </w:tc>
        <w:tc>
          <w:tcPr>
            <w:tcW w:type="dxa" w:w="5112"/>
          </w:tcPr>
          <w:p>
            <w:r>
              <w:t>Approximately 4:30–5:30 at Temidayo’s natural pace</w:t>
            </w:r>
          </w:p>
        </w:tc>
      </w:tr>
      <w:tr>
        <w:tc>
          <w:tcPr>
            <w:tcW w:type="dxa" w:w="5112"/>
          </w:tcPr>
          <w:p>
            <w:r>
              <w:t>Editorial goal</w:t>
            </w:r>
          </w:p>
        </w:tc>
        <w:tc>
          <w:tcPr>
            <w:tcW w:type="dxa" w:w="5112"/>
          </w:tcPr>
          <w:p>
            <w:r>
              <w:t>Test whether a shorter, higher-density long-form cut improves first-minute retention without flattening the teaching.</w:t>
            </w:r>
          </w:p>
        </w:tc>
      </w:tr>
      <w:tr>
        <w:tc>
          <w:tcPr>
            <w:tcW w:type="dxa" w:w="5112"/>
          </w:tcPr>
          <w:p>
            <w:r>
              <w:t>Long-form captions</w:t>
            </w:r>
          </w:p>
        </w:tc>
        <w:tc>
          <w:tcPr>
            <w:tcW w:type="dxa" w:w="5112"/>
          </w:tcPr>
          <w:p>
            <w:r>
              <w:t>No burned-in captions. Deliver final SRT.</w:t>
            </w:r>
          </w:p>
        </w:tc>
      </w:tr>
    </w:tbl>
    <w:p/>
    <w:p>
      <w:r>
        <w:rPr>
          <w:b/>
          <w:sz w:val="24"/>
        </w:rPr>
        <w:t>RECORDING SCRIPT STARTS HERE</w:t>
      </w:r>
    </w:p>
    <w:p>
      <w:r>
        <w:rPr>
          <w:b/>
          <w:sz w:val="22"/>
        </w:rPr>
        <w:t>HOOK | The title was new. The work was not completely new.</w:t>
      </w:r>
    </w:p>
    <w:p>
      <w:pPr>
        <w:spacing w:after="100"/>
      </w:pPr>
      <w:r>
        <w:t>Three times in five years, I stepped into a role that did not have a predecessor. Each time, the title was new to me. But the work underneath it was not completely new.</w:t>
      </w:r>
    </w:p>
    <w:p>
      <w:pPr>
        <w:spacing w:after="100"/>
      </w:pPr>
      <w:r>
        <w:t>What changed was how I judged whether I was ready. I stopped waiting for an exact title match. I stopped proving myself with a task list. And I stopped treating every learning gap like evidence that I was not ready.</w:t>
      </w:r>
    </w:p>
    <w:p>
      <w:pPr>
        <w:spacing w:after="100"/>
      </w:pPr>
      <w:r>
        <w:t>If you are looking at a role you have never held before, use three questions instead: What problem will I be trusted to solve? What can I already prove? What do I genuinely need to learn?</w:t>
      </w:r>
    </w:p>
    <w:p>
      <w:r>
        <w:rPr>
          <w:b/>
          <w:sz w:val="22"/>
        </w:rPr>
        <w:t>STOP 1 | Stop waiting for an exact title match</w:t>
      </w:r>
    </w:p>
    <w:p>
      <w:pPr>
        <w:spacing w:after="100"/>
      </w:pPr>
      <w:r>
        <w:t>Titles are useful, but they are incomplete. Remove the title and ask what this person is actually being hired to make clearer, less risky, more reliable, or more possible.</w:t>
      </w:r>
    </w:p>
    <w:p>
      <w:pPr>
        <w:spacing w:after="100"/>
      </w:pPr>
      <w:r>
        <w:t>Across my own career, the subject matter changed. But underneath it, I was often being asked to make sense of incomplete information, build structure where there was not much yet, and help people make a decision they could act on.</w:t>
      </w:r>
    </w:p>
    <w:p>
      <w:pPr>
        <w:spacing w:after="100"/>
      </w:pPr>
      <w:r>
        <w:t>That does not make every role interchangeable. It simply means 'I have never held this title' is not the same as 'I have never done the underlying work.'</w:t>
      </w:r>
    </w:p>
    <w:p>
      <w:pPr>
        <w:spacing w:after="100"/>
      </w:pPr>
      <w:r>
        <w:t>A useful way to test this is to compare the old and new role without their titles. If the new role still asks you to diagnose ambiguity, align people who do not report to you, build a structure that did not exist, or make a recommendation under uncertainty, you may have more relevant evidence than the title suggests.</w:t>
      </w:r>
    </w:p>
    <w:p>
      <w:r>
        <w:rPr>
          <w:b/>
          <w:sz w:val="22"/>
        </w:rPr>
        <w:t>STOP 2 | Stop proving readiness with a task list</w:t>
      </w:r>
    </w:p>
    <w:p>
      <w:pPr>
        <w:spacing w:after="100"/>
      </w:pPr>
      <w:r>
        <w:t>A task list works when the new job is almost identical to the old one. It is weaker when the role is new, redesigned, or in a different context.</w:t>
      </w:r>
    </w:p>
    <w:p>
      <w:pPr>
        <w:spacing w:after="100"/>
      </w:pPr>
      <w:r>
        <w:t>For unfamiliar work, look for evidence of judgment. When the instructions were incomplete, what did people trust you to notice? What tradeoff did you weigh? What did you recommend when there was more than one reasonable answer? What did you build when the operating rule was not obvious?</w:t>
      </w:r>
    </w:p>
    <w:p>
      <w:pPr>
        <w:spacing w:after="100"/>
      </w:pPr>
      <w:r>
        <w:t>That is different from saying, 'I am strategic.' A real example has a decision, a constraint, what you did, and what happened.</w:t>
      </w:r>
    </w:p>
    <w:p>
      <w:pPr>
        <w:spacing w:after="100"/>
      </w:pPr>
      <w:r>
        <w:t>This is where experienced professionals sometimes undersell themselves. They compare activities instead of the judgment behind them. The activity may be new. The way you think through the problem may not be.</w:t>
      </w:r>
    </w:p>
    <w:p>
      <w:r>
        <w:rPr>
          <w:b/>
          <w:sz w:val="22"/>
        </w:rPr>
        <w:t>STOP 3 | Stop treating the learning gap as a verdict</w:t>
      </w:r>
    </w:p>
    <w:p>
      <w:pPr>
        <w:spacing w:after="100"/>
      </w:pPr>
      <w:r>
        <w:t>A real move should contain things you do not know yet. Domain knowledge can matter. Regulation, systems, relationships, credentials, and internal history can matter too.</w:t>
      </w:r>
    </w:p>
    <w:p>
      <w:pPr>
        <w:spacing w:after="100"/>
      </w:pPr>
      <w:r>
        <w:t>Do not hide those gaps. Name them. A credible readiness case is not, 'I can already do every part of this.' It is, 'Here is what I can carry, here is the proof, and here is what I still need to learn.'</w:t>
      </w:r>
    </w:p>
    <w:p>
      <w:r>
        <w:rPr>
          <w:b/>
          <w:sz w:val="22"/>
        </w:rPr>
        <w:t>THE 3-LINE READINESS CASE</w:t>
      </w:r>
    </w:p>
    <w:p>
      <w:pPr>
        <w:spacing w:after="100"/>
      </w:pPr>
      <w:r>
        <w:t>Take one role you have never held and write three lines.</w:t>
      </w:r>
    </w:p>
    <w:p>
      <w:pPr>
        <w:spacing w:after="100"/>
      </w:pPr>
      <w:r>
        <w:t>Problem: What does this role actually need someone to solve?</w:t>
        <w:br/>
        <w:t>Proof: What have I already done that shows I can handle the underlying judgment?</w:t>
        <w:br/>
        <w:t>Gap: What do I genuinely need to learn, earn, or experience in this context?</w:t>
      </w:r>
    </w:p>
    <w:p>
      <w:pPr>
        <w:spacing w:after="100"/>
      </w:pPr>
      <w:r>
        <w:t>If the proof is thin, you know what evidence you still need. If the gap is a hard gate, you know what must change before the move makes sense. And if both are credible, you have something much stronger than 'I think I could do it.'</w:t>
      </w:r>
    </w:p>
    <w:p>
      <w:pPr>
        <w:spacing w:after="100"/>
      </w:pPr>
      <w:r>
        <w:t>You also have a cleaner way to talk about the move. Instead of defending why you have never held the title, you can explain the problem you already know how to solve, show the evidence, and be specific about what is new.</w:t>
      </w:r>
    </w:p>
    <w:p>
      <w:r>
        <w:rPr>
          <w:b/>
          <w:sz w:val="22"/>
        </w:rPr>
        <w:t>CLOSE</w:t>
      </w:r>
    </w:p>
    <w:p>
      <w:pPr>
        <w:spacing w:after="100"/>
      </w:pPr>
      <w:r>
        <w:t>A strong readiness case does not guarantee that an employer will choose you. Credentials, markets, relationships, compensation, employer preferences, and bias still matter.</w:t>
      </w:r>
    </w:p>
    <w:p>
      <w:pPr>
        <w:spacing w:after="100"/>
      </w:pPr>
      <w:r>
        <w:t>But it helps you separate two very different problems: 'I have never held this title' and 'I do not yet have the evidence this work requires.'</w:t>
      </w:r>
    </w:p>
    <w:p>
      <w:pPr>
        <w:spacing w:after="100"/>
      </w:pPr>
      <w:r>
        <w:t>Being new to the title does not automatically mean being new to the work.</w:t>
      </w:r>
    </w:p>
    <w:p/>
    <w:p>
      <w:r>
        <w:rPr>
          <w:b/>
          <w:sz w:val="22"/>
        </w:rPr>
        <w:t>PRODUCTION NOTES</w:t>
      </w:r>
    </w:p>
    <w:p>
      <w:pPr>
        <w:pStyle w:val="ListBullet"/>
      </w:pPr>
      <w:r>
        <w:t>First 15 seconds must confirm the title/thumbnail promise. No channel framing or preamble.</w:t>
      </w:r>
    </w:p>
    <w:p>
      <w:pPr>
        <w:pStyle w:val="ListBullet"/>
      </w:pPr>
      <w:r>
        <w:t>Record by thought block. Preserve natural delivery. Do not speed up simply to hit runtime.</w:t>
      </w:r>
    </w:p>
    <w:p>
      <w:pPr>
        <w:pStyle w:val="ListBullet"/>
      </w:pPr>
      <w:r>
        <w:t>Use 3–5 deliberate camera-emphasis beats total and 2–4 meaningful full-screen visuals where useful.</w:t>
      </w:r>
    </w:p>
    <w:p>
      <w:pPr>
        <w:pStyle w:val="ListBullet"/>
      </w:pPr>
      <w:r>
        <w:t>Framework/comparison graphics must be true full-screen and mobile-readable.</w:t>
      </w:r>
    </w:p>
    <w:p>
      <w:pPr>
        <w:pStyle w:val="ListBullet"/>
      </w:pPr>
      <w:r>
        <w:t>One primary CTA only. Watch Next is full screen and final. No return to camera afterward.</w:t>
      </w:r>
    </w:p>
    <w:p>
      <w:pPr>
        <w:pStyle w:val="ListBullet"/>
      </w:pPr>
      <w:r>
        <w:t>U.S. English. No em dashes. Do not invent causal claims or outcomes.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