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Stop proving readiness with a task list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task list works when the new job is almost identical to the old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task list works when the new job is almost identical to the old one.</w:t>
      </w:r>
    </w:p>
    <w:p>
      <w:pPr>
        <w:spacing w:before="0" w:after="200" w:line="322" w:lineRule="auto"/>
      </w:pPr>
      <w:r>
        <w:rPr>
          <w:sz w:val="25"/>
        </w:rPr>
        <w:t>It is weaker when the role is new, redesigned, or in a different context.</w:t>
      </w:r>
    </w:p>
    <w:p>
      <w:pPr>
        <w:spacing w:before="0" w:after="200" w:line="322" w:lineRule="auto"/>
      </w:pPr>
      <w:r>
        <w:rPr>
          <w:sz w:val="25"/>
        </w:rPr>
        <w:t>For unfamiliar work, look for evidence of judgment.</w:t>
      </w:r>
    </w:p>
    <w:p>
      <w:pPr>
        <w:spacing w:before="0" w:after="200" w:line="322" w:lineRule="auto"/>
      </w:pPr>
      <w:r>
        <w:rPr>
          <w:sz w:val="25"/>
        </w:rPr>
        <w:t>When the instructions were incomplete, what did people trust you to notice? What tradeoff did you weigh? What did you recommend when there was more than one reasonable answer?</w:t>
      </w:r>
    </w:p>
    <w:p>
      <w:pPr>
        <w:spacing w:before="0" w:after="200" w:line="322" w:lineRule="auto"/>
      </w:pPr>
      <w:r>
        <w:rPr>
          <w:sz w:val="25"/>
        </w:rPr>
        <w:t>That is different from saying I am strategic.</w:t>
      </w:r>
    </w:p>
    <w:p>
      <w:pPr>
        <w:spacing w:before="0" w:after="200" w:line="322" w:lineRule="auto"/>
      </w:pPr>
      <w:r>
        <w:rPr>
          <w:sz w:val="25"/>
        </w:rPr>
        <w:t>A real example has a decision, a constraint, what you did, and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with a decision, a constraint, and a result.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task list struck through, replaced by the four-part example.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two.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  |  v4_a3_evidence_of_judgment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