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What a readiness case cannot do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want to be straight about the limit of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want to be straight about the limit of this.</w:t>
      </w:r>
    </w:p>
    <w:p>
      <w:pPr>
        <w:spacing w:before="0" w:after="200" w:line="322" w:lineRule="auto"/>
      </w:pPr>
      <w:r>
        <w:rPr>
          <w:sz w:val="25"/>
        </w:rPr>
        <w:t>A strong readiness case does not guarantee that an employer will choose you.</w:t>
      </w:r>
    </w:p>
    <w:p>
      <w:pPr>
        <w:spacing w:before="0" w:after="200" w:line="322" w:lineRule="auto"/>
      </w:pPr>
      <w:r>
        <w:rPr>
          <w:sz w:val="25"/>
        </w:rPr>
        <w:t>Credentials, markets, relationships, compensation, employer preferences, and bias still matter.</w:t>
      </w:r>
    </w:p>
    <w:p>
      <w:pPr>
        <w:spacing w:before="0" w:after="200" w:line="322" w:lineRule="auto"/>
      </w:pPr>
      <w:r>
        <w:rPr>
          <w:sz w:val="25"/>
        </w:rPr>
        <w:t>What it does is separate two very different problems.</w:t>
      </w:r>
    </w:p>
    <w:p>
      <w:pPr>
        <w:spacing w:before="0" w:after="200" w:line="322" w:lineRule="auto"/>
      </w:pPr>
      <w:r>
        <w:rPr>
          <w:sz w:val="25"/>
        </w:rPr>
        <w:t>I have never held this title. And I do not yet have the evidence this work requires.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Work out which of those two problems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  |  v4_b2_what_it_does_not_guarantee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