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4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Editorial Check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I Was First in 3 New Roles in 5 Years. Here's What I Stopped Doing.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12, 2026 | 5:28 AM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Source  </w:t>
      </w:r>
      <w:r>
        <w:rPr>
          <w:sz w:val="21"/>
        </w:rPr>
        <w:t>Video_4_FINAL_5_Minute_Test_Recording_Master.docx  ·  SHA-256 e10d1c820d85de5dc07570621540d3296745ddbd2e7f59c2bf0cf3747057725f</w:t>
      </w:r>
    </w:p>
    <w:p>
      <w:pPr>
        <w:spacing w:after="80"/>
      </w:pPr>
      <w:r>
        <w:rPr>
          <w:b/>
          <w:color w:val="8A6D1E"/>
          <w:sz w:val="20"/>
        </w:rPr>
        <w:t xml:space="preserve">Runtime mode  </w:t>
      </w:r>
      <w:r>
        <w:rPr>
          <w:sz w:val="21"/>
        </w:rPr>
        <w:t>5-MINUTE RETENTION TEST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Temidayo's experience is evidence and warrant for the teaching. It is not the destination of the story. The tests below measure that against the corrected master rather than asserting 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PAINFUL PROBLEM</w:t>
      </w:r>
    </w:p>
    <w:p>
      <w:pPr>
        <w:spacing w:before="0" w:after="160"/>
      </w:pPr>
      <w:r>
        <w:rPr>
          <w:b w:val="0"/>
          <w:i w:val="0"/>
          <w:sz w:val="25"/>
        </w:rPr>
        <w:t>You are looking at a role you have never held, and you cannot tell whether never having held the title means you cannot do the work.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SOLUTION OR TOOL</w:t>
      </w:r>
    </w:p>
    <w:p>
      <w:pPr>
        <w:spacing w:before="0" w:after="160"/>
      </w:pPr>
      <w:r>
        <w:rPr>
          <w:b w:val="0"/>
          <w:i w:val="0"/>
          <w:sz w:val="25"/>
        </w:rPr>
        <w:t>Three stops, and a 3-line readiness case: problem, proof, gap.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VIEWER OUTCOME</w:t>
      </w:r>
    </w:p>
    <w:p>
      <w:pPr>
        <w:spacing w:before="0" w:after="160"/>
      </w:pPr>
      <w:r>
        <w:rPr>
          <w:b w:val="0"/>
          <w:i w:val="0"/>
          <w:sz w:val="25"/>
        </w:rPr>
        <w:t>You can separate 'I have never held this title' from 'I do not yet have the evidence this work requires', and say which one you have.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ONE PRIMARY ACTION</w:t>
      </w:r>
    </w:p>
    <w:p>
      <w:pPr>
        <w:spacing w:before="0" w:after="160"/>
      </w:pPr>
      <w:r>
        <w:rPr>
          <w:b/>
          <w:i w:val="0"/>
          <w:color w:val="112345"/>
          <w:sz w:val="24"/>
        </w:rPr>
        <w:t>Write the three lines. Problem. Proof. Gap. Being new to the title is not being new to the work.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Spoken at: Being new to the title does not automatically mean being new to the work.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Resource route: none, and none is added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TESTS AGAINST THE CORRECTED MASTER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74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TEST</w:t>
            </w:r>
          </w:p>
        </w:tc>
        <w:tc>
          <w:tcPr>
            <w:tcW w:type="dxa" w:w="129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RESULT</w:t>
            </w:r>
          </w:p>
        </w:tc>
        <w:tc>
          <w:tcPr>
            <w:tcW w:type="dxa" w:w="460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MEASURED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problem is the viewer's, not the presenter's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Stated in second person.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 solution or tool sits between the problem and the outcome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Three stops, and a 3-line readiness case: problem, proof, gap.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outcome is something the viewer can do or say afterward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Stated in second person.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video closes on the viewer's action, not on the presenter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Last 320 words: 1.8% first person, and the viewer is addressed.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One primary action, and it is the one the CTA card carries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Write the three lines. Problem. Proof. Gap. Being new to the title is not being new to the work.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Experience is used as warrant, not as the destination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2.8% of the script is first person.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THIS PAGE DOES NOT CLAIM</w:t>
      </w:r>
    </w:p>
    <w:p>
      <w:pPr>
        <w:spacing w:after="80" w:line="278" w:lineRule="auto"/>
        <w:ind w:left="547" w:hanging="230"/>
      </w:pPr>
      <w:r>
        <w:rPr>
          <w:sz w:val="21"/>
        </w:rPr>
        <w:t>•   It does not claim the video will retain, convert or rank.</w:t>
      </w:r>
    </w:p>
    <w:p>
      <w:pPr>
        <w:spacing w:after="80" w:line="278" w:lineRule="auto"/>
        <w:ind w:left="547" w:hanging="230"/>
      </w:pPr>
      <w:r>
        <w:rPr>
          <w:sz w:val="21"/>
        </w:rPr>
        <w:t>•   It does not claim that everything in Temidayo's experience transfers. Employer constraints, bias, markets, credentials, regulation, domain knowledge, relationships, compensation realities, genuine gaps and relearning all still apply.</w:t>
      </w:r>
    </w:p>
    <w:p>
      <w:pPr>
        <w:spacing w:after="80" w:line="278" w:lineRule="auto"/>
        <w:ind w:left="547" w:hanging="230"/>
      </w:pPr>
      <w:r>
        <w:rPr>
          <w:sz w:val="21"/>
        </w:rPr>
        <w:t>•   A pass here means the structure holds, not that the script is finished. The master is the authority on the words.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4 editorial check  |  painful problem, solution, viewer outcome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