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The 4-line move case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 Changed Career Tracks Without Starting Over. Here's What I Carried With Me.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The video's own CTA  </w:t>
      </w:r>
      <w:r>
        <w:rPr>
          <w:sz w:val="21"/>
        </w:rPr>
        <w:t>Write the four lines. Carry. Translate. Relearn. Prove. More honest than 'I am starting over' or 'everything transfers.'</w:t>
      </w:r>
    </w:p>
    <w:p>
      <w:pPr>
        <w:spacing w:after="80"/>
      </w:pPr>
      <w:r>
        <w:rPr>
          <w:b/>
          <w:color w:val="8A6D1E"/>
          <w:sz w:val="20"/>
        </w:rPr>
        <w:t xml:space="preserve">Spoken where  </w:t>
      </w:r>
      <w:r>
        <w:rPr>
          <w:sz w:val="21"/>
        </w:rPr>
        <w:t>That gives you a more honest position than either 'I am starting over' or 'everything I have done transfers.'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None. This video names no resource and none is added.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ONE move you are considering.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Carry. Remove the employer name, the old title and the industry language, then write which parts of your experience would still help solve the destination problem.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Translate. Write the same capability in the destination's terms. What you had to notice, what decision you supported, what changed.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Relearn. Name the genuine gap accurately. Systems, regulation, domain language, relationships, credentials.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Prove. Write one example that supports the level you are claiming, not the duration or the title.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A career-track change can lower your leverage in some areas.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rename a real domain or credential requirement as a transferable skill.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5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