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Editorial Check</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Video_7_FINAL_Revised_Recording_Master.docx  ·  SHA-256 1ebe2b9c0132c4f87d1b3c38b82ad33729c6200414aedd2ff93c0066fcf43c14</w:t>
      </w:r>
    </w:p>
    <w:p>
      <w:pPr>
        <w:spacing w:after="80"/>
      </w:pPr>
      <w:r>
        <w:rPr>
          <w:b/>
          <w:color w:val="8A6D1E"/>
          <w:sz w:val="20"/>
        </w:rPr>
        <w:t xml:space="preserve">Runtime mode  </w:t>
      </w:r>
      <w:r>
        <w:rPr>
          <w:sz w:val="21"/>
        </w:rPr>
        <w:t>REGULAR LONG-FORM</w:t>
      </w:r>
    </w:p>
    <w:p>
      <w:pPr>
        <w:spacing w:before="200" w:after="200"/>
        <w:ind w:left="216"/>
        <w:pBdr>
          <w:left w:val="single" w:sz="18" w:color="9B2C10" w:space="8"/>
        </w:pBdr>
        <w:keepNext w:val="1"/>
        <w:keepLines w:val="1"/>
      </w:pPr>
      <w:r>
        <w:rPr>
          <w:b/>
          <w:color w:val="9B2C10"/>
          <w:sz w:val="21"/>
        </w:rPr>
        <w:t>Temidayo's experience is evidence and warrant for the teaching. It is not the destination of the story. The tests below measure that against the corrected master rather than asserting it.</w:t>
      </w:r>
    </w:p>
    <w:p>
      <w:pPr>
        <w:spacing w:before="320" w:after="120"/>
        <w:keepNext w:val="1"/>
        <w:keepLines w:val="1"/>
      </w:pPr>
      <w:r>
        <w:rPr>
          <w:b/>
          <w:i w:val="0"/>
          <w:color w:val="112345"/>
          <w:sz w:val="26"/>
        </w:rPr>
        <w:t>PAINFUL PROBLEM</w:t>
      </w:r>
    </w:p>
    <w:p>
      <w:pPr>
        <w:spacing w:before="0" w:after="160"/>
      </w:pPr>
      <w:r>
        <w:rPr>
          <w:b w:val="0"/>
          <w:i w:val="0"/>
          <w:sz w:val="25"/>
        </w:rPr>
        <w:t>Your scope keeps growing, everyone calls it growth, and you are not sure whether you are being developed or simply absorbed.</w:t>
      </w:r>
    </w:p>
    <w:p>
      <w:pPr>
        <w:spacing w:before="320" w:after="120"/>
        <w:keepNext w:val="1"/>
        <w:keepLines w:val="1"/>
      </w:pPr>
      <w:r>
        <w:rPr>
          <w:b/>
          <w:i w:val="0"/>
          <w:color w:val="112345"/>
          <w:sz w:val="26"/>
        </w:rPr>
        <w:t>SOLUTION OR TOOL</w:t>
      </w:r>
    </w:p>
    <w:p>
      <w:pPr>
        <w:spacing w:before="0" w:after="160"/>
      </w:pPr>
      <w:r>
        <w:rPr>
          <w:b w:val="0"/>
          <w:i w:val="0"/>
          <w:sz w:val="25"/>
        </w:rPr>
        <w:t>CAR: Complexity, Authority, Return, used before you accept more.</w:t>
      </w:r>
    </w:p>
    <w:p>
      <w:pPr>
        <w:spacing w:before="320" w:after="120"/>
        <w:keepNext w:val="1"/>
        <w:keepLines w:val="1"/>
      </w:pPr>
      <w:r>
        <w:rPr>
          <w:b/>
          <w:i w:val="0"/>
          <w:color w:val="112345"/>
          <w:sz w:val="26"/>
        </w:rPr>
        <w:t>VIEWER OUTCOME</w:t>
      </w:r>
    </w:p>
    <w:p>
      <w:pPr>
        <w:spacing w:before="0" w:after="160"/>
      </w:pPr>
      <w:r>
        <w:rPr>
          <w:b w:val="0"/>
          <w:i w:val="0"/>
          <w:sz w:val="25"/>
        </w:rPr>
        <w:t>You can tell capacity use from growth, and ask for the review point before temporary scope becomes permanent.</w:t>
      </w:r>
    </w:p>
    <w:p>
      <w:pPr>
        <w:spacing w:before="320" w:after="120"/>
        <w:keepNext w:val="1"/>
        <w:keepLines w:val="1"/>
      </w:pPr>
      <w:r>
        <w:rPr>
          <w:b/>
          <w:i w:val="0"/>
          <w:color w:val="112345"/>
          <w:sz w:val="26"/>
        </w:rPr>
        <w:t>THE ONE PRIMARY ACTION</w:t>
      </w:r>
    </w:p>
    <w:p>
      <w:pPr>
        <w:spacing w:before="0" w:after="160"/>
      </w:pPr>
      <w:r>
        <w:rPr>
          <w:b/>
          <w:i w:val="0"/>
          <w:color w:val="112345"/>
          <w:sz w:val="24"/>
        </w:rPr>
        <w:t>On one responsibility you added in the last six months.</w:t>
      </w:r>
    </w:p>
    <w:p>
      <w:pPr>
        <w:spacing w:before="100" w:after="200"/>
      </w:pPr>
      <w:r>
        <w:rPr>
          <w:b w:val="0"/>
          <w:i w:val="0"/>
          <w:color w:val="5A6B82"/>
          <w:sz w:val="19"/>
        </w:rPr>
        <w:t>Spoken at: 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pPr>
        <w:spacing w:before="100" w:after="200"/>
      </w:pPr>
      <w:r>
        <w:rPr>
          <w:b w:val="0"/>
          <w:i w:val="0"/>
          <w:color w:val="5A6B82"/>
          <w:sz w:val="19"/>
        </w:rPr>
        <w:t>Resource route: Capability Formation Field Kit</w:t>
      </w:r>
    </w:p>
    <w:p>
      <w:pPr>
        <w:spacing w:before="320" w:after="120"/>
        <w:keepNext w:val="1"/>
        <w:keepLines w:val="1"/>
      </w:pPr>
      <w:r>
        <w:rPr>
          <w:b/>
          <w:i w:val="0"/>
          <w:color w:val="112345"/>
          <w:sz w:val="26"/>
        </w:rPr>
        <w:t>TESTS AGAINST THE CORRECTED MASTER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744"/>
            <w:shd w:val="clear" w:color="auto" w:fill="F3EFE6"/>
          </w:tcPr>
          <w:p>
            <w:pPr>
              <w:spacing w:before="60" w:after="60" w:line="264" w:lineRule="auto"/>
            </w:pPr>
            <w:r/>
            <w:r>
              <w:rPr>
                <w:b/>
                <w:i w:val="0"/>
                <w:color w:val="112345"/>
                <w:sz w:val="17"/>
              </w:rPr>
              <w:t>TEST</w:t>
            </w:r>
          </w:p>
        </w:tc>
        <w:tc>
          <w:tcPr>
            <w:tcW w:type="dxa" w:w="1296"/>
            <w:shd w:val="clear" w:color="auto" w:fill="F3EFE6"/>
          </w:tcPr>
          <w:p>
            <w:pPr>
              <w:spacing w:before="60" w:after="60" w:line="264" w:lineRule="auto"/>
            </w:pPr>
            <w:r/>
            <w:r>
              <w:rPr>
                <w:b/>
                <w:i w:val="0"/>
                <w:color w:val="112345"/>
                <w:sz w:val="17"/>
              </w:rPr>
              <w:t>RESULT</w:t>
            </w:r>
          </w:p>
        </w:tc>
        <w:tc>
          <w:tcPr>
            <w:tcW w:type="dxa" w:w="4608"/>
            <w:shd w:val="clear" w:color="auto" w:fill="F3EFE6"/>
          </w:tcPr>
          <w:p>
            <w:pPr>
              <w:spacing w:before="60" w:after="60" w:line="264" w:lineRule="auto"/>
            </w:pPr>
            <w:r/>
            <w:r>
              <w:rPr>
                <w:b/>
                <w:i w:val="0"/>
                <w:color w:val="112345"/>
                <w:sz w:val="17"/>
              </w:rPr>
              <w:t>MEASURED</w:t>
            </w:r>
          </w:p>
        </w:tc>
      </w:tr>
      <w:tr>
        <w:tc>
          <w:tcPr>
            <w:tcW w:type="dxa" w:w="3744"/>
          </w:tcPr>
          <w:p>
            <w:pPr>
              <w:spacing w:before="60" w:after="60" w:line="264" w:lineRule="auto"/>
            </w:pPr>
            <w:r/>
            <w:r>
              <w:rPr>
                <w:b w:val="0"/>
                <w:i w:val="0"/>
                <w:sz w:val="17"/>
              </w:rPr>
              <w:t>The problem is the viewer's, not the presenter's</w:t>
            </w:r>
          </w:p>
        </w:tc>
        <w:tc>
          <w:tcPr>
            <w:tcW w:type="dxa" w:w="1296"/>
          </w:tcPr>
          <w:p>
            <w:pPr>
              <w:spacing w:before="60" w:after="60" w:line="264" w:lineRule="auto"/>
            </w:pPr>
            <w:r/>
            <w:r>
              <w:rPr>
                <w:b w:val="0"/>
                <w:i w:val="0"/>
                <w:sz w:val="17"/>
              </w:rPr>
              <w:t>PASS</w:t>
            </w:r>
          </w:p>
        </w:tc>
        <w:tc>
          <w:tcPr>
            <w:tcW w:type="dxa" w:w="4608"/>
          </w:tcPr>
          <w:p>
            <w:pPr>
              <w:spacing w:before="60" w:after="60" w:line="264" w:lineRule="auto"/>
            </w:pPr>
            <w:r/>
            <w:r>
              <w:rPr>
                <w:b w:val="0"/>
                <w:i w:val="0"/>
                <w:sz w:val="17"/>
              </w:rPr>
              <w:t>Stated in second person.</w:t>
            </w:r>
          </w:p>
        </w:tc>
      </w:tr>
      <w:tr>
        <w:tc>
          <w:tcPr>
            <w:tcW w:type="dxa" w:w="3744"/>
          </w:tcPr>
          <w:p>
            <w:pPr>
              <w:spacing w:before="60" w:after="60" w:line="264" w:lineRule="auto"/>
            </w:pPr>
            <w:r/>
            <w:r>
              <w:rPr>
                <w:b w:val="0"/>
                <w:i w:val="0"/>
                <w:sz w:val="17"/>
              </w:rPr>
              <w:t>A solution or tool sits between the problem and the outcome</w:t>
            </w:r>
          </w:p>
        </w:tc>
        <w:tc>
          <w:tcPr>
            <w:tcW w:type="dxa" w:w="1296"/>
          </w:tcPr>
          <w:p>
            <w:pPr>
              <w:spacing w:before="60" w:after="60" w:line="264" w:lineRule="auto"/>
            </w:pPr>
            <w:r/>
            <w:r>
              <w:rPr>
                <w:b w:val="0"/>
                <w:i w:val="0"/>
                <w:sz w:val="17"/>
              </w:rPr>
              <w:t>PASS</w:t>
            </w:r>
          </w:p>
        </w:tc>
        <w:tc>
          <w:tcPr>
            <w:tcW w:type="dxa" w:w="4608"/>
          </w:tcPr>
          <w:p>
            <w:pPr>
              <w:spacing w:before="60" w:after="60" w:line="264" w:lineRule="auto"/>
            </w:pPr>
            <w:r/>
            <w:r>
              <w:rPr>
                <w:b w:val="0"/>
                <w:i w:val="0"/>
                <w:sz w:val="17"/>
              </w:rPr>
              <w:t>CAR: Complexity, Authority, Return, used before you accept more.</w:t>
            </w:r>
          </w:p>
        </w:tc>
      </w:tr>
      <w:tr>
        <w:tc>
          <w:tcPr>
            <w:tcW w:type="dxa" w:w="3744"/>
          </w:tcPr>
          <w:p>
            <w:pPr>
              <w:spacing w:before="60" w:after="60" w:line="264" w:lineRule="auto"/>
            </w:pPr>
            <w:r/>
            <w:r>
              <w:rPr>
                <w:b w:val="0"/>
                <w:i w:val="0"/>
                <w:sz w:val="17"/>
              </w:rPr>
              <w:t>The outcome is something the viewer can do or say afterward</w:t>
            </w:r>
          </w:p>
        </w:tc>
        <w:tc>
          <w:tcPr>
            <w:tcW w:type="dxa" w:w="1296"/>
          </w:tcPr>
          <w:p>
            <w:pPr>
              <w:spacing w:before="60" w:after="60" w:line="264" w:lineRule="auto"/>
            </w:pPr>
            <w:r/>
            <w:r>
              <w:rPr>
                <w:b w:val="0"/>
                <w:i w:val="0"/>
                <w:sz w:val="17"/>
              </w:rPr>
              <w:t>PASS</w:t>
            </w:r>
          </w:p>
        </w:tc>
        <w:tc>
          <w:tcPr>
            <w:tcW w:type="dxa" w:w="4608"/>
          </w:tcPr>
          <w:p>
            <w:pPr>
              <w:spacing w:before="60" w:after="60" w:line="264" w:lineRule="auto"/>
            </w:pPr>
            <w:r/>
            <w:r>
              <w:rPr>
                <w:b w:val="0"/>
                <w:i w:val="0"/>
                <w:sz w:val="17"/>
              </w:rPr>
              <w:t>Stated in second person.</w:t>
            </w:r>
          </w:p>
        </w:tc>
      </w:tr>
      <w:tr>
        <w:tc>
          <w:tcPr>
            <w:tcW w:type="dxa" w:w="3744"/>
          </w:tcPr>
          <w:p>
            <w:pPr>
              <w:spacing w:before="60" w:after="60" w:line="264" w:lineRule="auto"/>
            </w:pPr>
            <w:r/>
            <w:r>
              <w:rPr>
                <w:b w:val="0"/>
                <w:i w:val="0"/>
                <w:sz w:val="17"/>
              </w:rPr>
              <w:t>The video closes on the viewer's action, not on the presenter</w:t>
            </w:r>
          </w:p>
        </w:tc>
        <w:tc>
          <w:tcPr>
            <w:tcW w:type="dxa" w:w="1296"/>
          </w:tcPr>
          <w:p>
            <w:pPr>
              <w:spacing w:before="60" w:after="60" w:line="264" w:lineRule="auto"/>
            </w:pPr>
            <w:r/>
            <w:r>
              <w:rPr>
                <w:b w:val="0"/>
                <w:i w:val="0"/>
                <w:sz w:val="17"/>
              </w:rPr>
              <w:t>PASS</w:t>
            </w:r>
          </w:p>
        </w:tc>
        <w:tc>
          <w:tcPr>
            <w:tcW w:type="dxa" w:w="4608"/>
          </w:tcPr>
          <w:p>
            <w:pPr>
              <w:spacing w:before="60" w:after="60" w:line="264" w:lineRule="auto"/>
            </w:pPr>
            <w:r/>
            <w:r>
              <w:rPr>
                <w:b w:val="0"/>
                <w:i w:val="0"/>
                <w:sz w:val="17"/>
              </w:rPr>
              <w:t>Last 320 words: 1.9% first person, and the viewer is addressed.</w:t>
            </w:r>
          </w:p>
        </w:tc>
      </w:tr>
      <w:tr>
        <w:tc>
          <w:tcPr>
            <w:tcW w:type="dxa" w:w="3744"/>
          </w:tcPr>
          <w:p>
            <w:pPr>
              <w:spacing w:before="60" w:after="60" w:line="264" w:lineRule="auto"/>
            </w:pPr>
            <w:r/>
            <w:r>
              <w:rPr>
                <w:b w:val="0"/>
                <w:i w:val="0"/>
                <w:sz w:val="17"/>
              </w:rPr>
              <w:t>One primary action, and it is the one the CTA card carries</w:t>
            </w:r>
          </w:p>
        </w:tc>
        <w:tc>
          <w:tcPr>
            <w:tcW w:type="dxa" w:w="1296"/>
          </w:tcPr>
          <w:p>
            <w:pPr>
              <w:spacing w:before="60" w:after="60" w:line="264" w:lineRule="auto"/>
            </w:pPr>
            <w:r/>
            <w:r>
              <w:rPr>
                <w:b w:val="0"/>
                <w:i w:val="0"/>
                <w:sz w:val="17"/>
              </w:rPr>
              <w:t>PASS</w:t>
            </w:r>
          </w:p>
        </w:tc>
        <w:tc>
          <w:tcPr>
            <w:tcW w:type="dxa" w:w="4608"/>
          </w:tcPr>
          <w:p>
            <w:pPr>
              <w:spacing w:before="60" w:after="60" w:line="264" w:lineRule="auto"/>
            </w:pPr>
            <w:r/>
            <w:r>
              <w:rPr>
                <w:b w:val="0"/>
                <w:i w:val="0"/>
                <w:sz w:val="17"/>
              </w:rPr>
              <w:t>On one responsibility you added in the last six months.</w:t>
            </w:r>
          </w:p>
        </w:tc>
      </w:tr>
      <w:tr>
        <w:tc>
          <w:tcPr>
            <w:tcW w:type="dxa" w:w="3744"/>
          </w:tcPr>
          <w:p>
            <w:pPr>
              <w:spacing w:before="60" w:after="60" w:line="264" w:lineRule="auto"/>
            </w:pPr>
            <w:r/>
            <w:r>
              <w:rPr>
                <w:b w:val="0"/>
                <w:i w:val="0"/>
                <w:sz w:val="17"/>
              </w:rPr>
              <w:t>Experience is used as warrant, not as the destination</w:t>
            </w:r>
          </w:p>
        </w:tc>
        <w:tc>
          <w:tcPr>
            <w:tcW w:type="dxa" w:w="1296"/>
          </w:tcPr>
          <w:p>
            <w:pPr>
              <w:spacing w:before="60" w:after="60" w:line="264" w:lineRule="auto"/>
            </w:pPr>
            <w:r/>
            <w:r>
              <w:rPr>
                <w:b w:val="0"/>
                <w:i w:val="0"/>
                <w:sz w:val="17"/>
              </w:rPr>
              <w:t>PASS</w:t>
            </w:r>
          </w:p>
        </w:tc>
        <w:tc>
          <w:tcPr>
            <w:tcW w:type="dxa" w:w="4608"/>
          </w:tcPr>
          <w:p>
            <w:pPr>
              <w:spacing w:before="60" w:after="60" w:line="264" w:lineRule="auto"/>
            </w:pPr>
            <w:r/>
            <w:r>
              <w:rPr>
                <w:b w:val="0"/>
                <w:i w:val="0"/>
                <w:sz w:val="17"/>
              </w:rPr>
              <w:t>1.3% of the script is first person.</w:t>
            </w:r>
          </w:p>
        </w:tc>
      </w:tr>
    </w:tbl>
    <w:p>
      <w:pPr>
        <w:spacing w:after="120"/>
      </w:pPr>
    </w:p>
    <w:p>
      <w:pPr>
        <w:spacing w:before="320" w:after="120"/>
        <w:keepNext w:val="1"/>
        <w:keepLines w:val="1"/>
      </w:pPr>
      <w:r>
        <w:rPr>
          <w:b/>
          <w:i w:val="0"/>
          <w:color w:val="112345"/>
          <w:sz w:val="26"/>
        </w:rPr>
        <w:t>WHAT THIS PAGE DOES NOT CLAIM</w:t>
      </w:r>
    </w:p>
    <w:p>
      <w:pPr>
        <w:spacing w:after="80" w:line="278" w:lineRule="auto"/>
        <w:ind w:left="547" w:hanging="230"/>
      </w:pPr>
      <w:r>
        <w:rPr>
          <w:sz w:val="21"/>
        </w:rPr>
        <w:t>•   It does not claim the video will retain, convert or rank.</w:t>
      </w:r>
    </w:p>
    <w:p>
      <w:pPr>
        <w:spacing w:after="80" w:line="278" w:lineRule="auto"/>
        <w:ind w:left="547" w:hanging="230"/>
      </w:pPr>
      <w:r>
        <w:rPr>
          <w:sz w:val="21"/>
        </w:rPr>
        <w:t>•   It does not claim that everything in Temidayo's experience transfers. Employer constraints, bias, markets, credentials, regulation, domain knowledge, relationships, compensation realities, genuine gaps and relearning all still apply.</w:t>
      </w:r>
    </w:p>
    <w:p>
      <w:pPr>
        <w:spacing w:after="80" w:line="278" w:lineRule="auto"/>
        <w:ind w:left="547" w:hanging="230"/>
      </w:pPr>
      <w:r>
        <w:rPr>
          <w:sz w:val="21"/>
        </w:rPr>
        <w:t>•   A pass here means the structure holds, not that the script is finished. The master is the authority on the words.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editorial check  |  painful problem, solution, viewer outcome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