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8</w:t>
      </w:r>
    </w:p>
    <w:p>
      <w:pPr>
        <w:spacing w:before="0" w:after="80"/>
      </w:pPr>
      <w:r>
        <w:rPr>
          <w:b/>
          <w:i w:val="0"/>
          <w:color w:val="112345"/>
          <w:sz w:val="42"/>
        </w:rPr>
        <w:t>The four-sentence impact account</w:t>
      </w:r>
    </w:p>
    <w:p>
      <w:pPr>
        <w:spacing w:before="0" w:after="280"/>
      </w:pPr>
      <w:r>
        <w:rPr>
          <w:b w:val="0"/>
          <w:i w:val="0"/>
          <w:color w:val="5A6B82"/>
          <w:sz w:val="20"/>
        </w:rPr>
        <w:t>How to Show Your Impact at Work When You Built It From Scratch</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The video's own CTA  </w:t>
      </w:r>
      <w:r>
        <w:rPr>
          <w:sz w:val="21"/>
        </w:rPr>
        <w:t>Write the four sentences.</w:t>
      </w:r>
    </w:p>
    <w:p>
      <w:pPr>
        <w:spacing w:after="80"/>
      </w:pPr>
      <w:r>
        <w:rPr>
          <w:b/>
          <w:color w:val="8A6D1E"/>
          <w:sz w:val="20"/>
        </w:rPr>
        <w:t xml:space="preserve">Spoken where  </w:t>
      </w:r>
      <w:r>
        <w:rPr>
          <w:sz w:val="21"/>
        </w:rPr>
        <w:t>Keep the Proof is linked below if you want the deeper evidence system and reusable ledger. But the four-sentence account from this video stands on its own.</w:t>
      </w:r>
    </w:p>
    <w:p>
      <w:pPr>
        <w:spacing w:after="80"/>
      </w:pPr>
      <w:r>
        <w:rPr>
          <w:b/>
          <w:color w:val="8A6D1E"/>
          <w:sz w:val="20"/>
        </w:rPr>
        <w:t xml:space="preserve">Resource  </w:t>
      </w:r>
      <w:r>
        <w:rPr>
          <w:sz w:val="21"/>
        </w:rPr>
        <w:t>Keep the Proof: https://temidayoafonja.com/keep-the-proof</w:t>
      </w:r>
    </w:p>
    <w:p>
      <w:pPr>
        <w:spacing w:before="200" w:after="200"/>
        <w:ind w:left="216"/>
        <w:pBdr>
          <w:left w:val="single" w:sz="18" w:color="9B2C10" w:space="8"/>
        </w:pBdr>
        <w:keepNext w:val="1"/>
        <w:keepLines w:val="1"/>
      </w:pPr>
      <w:r>
        <w:rPr>
          <w:b/>
          <w:color w:val="9B2C10"/>
          <w:sz w:val="21"/>
        </w:rPr>
        <w:t>This exercise is the artifact the script already asks for. It adds no new claim, no new framework and no new offer.</w:t>
      </w:r>
    </w:p>
    <w:p>
      <w:pPr>
        <w:spacing w:before="320" w:after="120"/>
        <w:keepNext w:val="1"/>
        <w:keepLines w:val="1"/>
      </w:pPr>
      <w:r>
        <w:rPr>
          <w:b/>
          <w:i w:val="0"/>
          <w:color w:val="112345"/>
          <w:sz w:val="26"/>
        </w:rPr>
        <w:t>DO THIS</w:t>
      </w:r>
    </w:p>
    <w:p>
      <w:pPr>
        <w:spacing w:after="100" w:line="278" w:lineRule="auto"/>
        <w:ind w:left="490" w:hanging="490"/>
      </w:pPr>
      <w:r>
        <w:rPr>
          <w:b/>
          <w:sz w:val="21"/>
        </w:rPr>
        <w:t xml:space="preserve">1.   </w:t>
      </w:r>
      <w:r>
        <w:rPr>
          <w:sz w:val="21"/>
        </w:rPr>
        <w:t>Choose ONE thing people now take for granted because it works.</w:t>
      </w:r>
    </w:p>
    <w:p>
      <w:pPr>
        <w:spacing w:after="100" w:line="278" w:lineRule="auto"/>
        <w:ind w:left="490" w:hanging="490"/>
      </w:pPr>
      <w:r>
        <w:rPr>
          <w:b/>
          <w:sz w:val="21"/>
        </w:rPr>
        <w:t xml:space="preserve">2.   </w:t>
      </w:r>
      <w:r>
        <w:rPr>
          <w:sz w:val="21"/>
        </w:rPr>
        <w:t>Before. What could people not do consistently? What decision had no shared rule?</w:t>
      </w:r>
    </w:p>
    <w:p>
      <w:pPr>
        <w:spacing w:after="100" w:line="278" w:lineRule="auto"/>
        <w:ind w:left="490" w:hanging="490"/>
      </w:pPr>
      <w:r>
        <w:rPr>
          <w:b/>
          <w:sz w:val="21"/>
        </w:rPr>
        <w:t xml:space="preserve">3.   </w:t>
      </w:r>
      <w:r>
        <w:rPr>
          <w:sz w:val="21"/>
        </w:rPr>
        <w:t>My Part. What did you personally own, recommend or lead? Name attribution accurately.</w:t>
      </w:r>
    </w:p>
    <w:p>
      <w:pPr>
        <w:spacing w:after="100" w:line="278" w:lineRule="auto"/>
        <w:ind w:left="490" w:hanging="490"/>
      </w:pPr>
      <w:r>
        <w:rPr>
          <w:b/>
          <w:sz w:val="21"/>
        </w:rPr>
        <w:t xml:space="preserve">4.   </w:t>
      </w:r>
      <w:r>
        <w:rPr>
          <w:sz w:val="21"/>
        </w:rPr>
        <w:t>Judgment. What was not obvious at the start? What options existed and what made the choice difficult?</w:t>
      </w:r>
    </w:p>
    <w:p>
      <w:pPr>
        <w:spacing w:after="100" w:line="278" w:lineRule="auto"/>
        <w:ind w:left="490" w:hanging="490"/>
      </w:pPr>
      <w:r>
        <w:rPr>
          <w:b/>
          <w:sz w:val="21"/>
        </w:rPr>
        <w:t xml:space="preserve">5.   </w:t>
      </w:r>
      <w:r>
        <w:rPr>
          <w:sz w:val="21"/>
        </w:rPr>
        <w:t>Proof. Mark your evidence as Existence, Use or Effect, and keep only what it supports.</w:t>
      </w:r>
    </w:p>
    <w:p>
      <w:pPr>
        <w:spacing w:after="100" w:line="278" w:lineRule="auto"/>
        <w:ind w:left="490" w:hanging="490"/>
      </w:pPr>
      <w:r>
        <w:rPr>
          <w:b/>
          <w:sz w:val="21"/>
        </w:rPr>
        <w:t xml:space="preserve">6.   </w:t>
      </w:r>
      <w:r>
        <w:rPr>
          <w:sz w:val="21"/>
        </w:rPr>
        <w:t>Remove the employer name and internal acronyms. Can a stranger still understand the contribution?</w:t>
      </w:r>
    </w:p>
    <w:p>
      <w:pPr>
        <w:spacing w:after="100" w:line="278" w:lineRule="auto"/>
        <w:ind w:left="490" w:hanging="490"/>
      </w:pPr>
      <w:r>
        <w:rPr>
          <w:b/>
          <w:sz w:val="21"/>
        </w:rPr>
        <w:t xml:space="preserve">7.   </w:t>
      </w:r>
      <w:r>
        <w:rPr>
          <w:sz w:val="21"/>
        </w:rPr>
        <w:t>Then look at the judgment sentence. Could you use that judgment again somewhere else, or did it depend on relationships, authority, regulation or domain knowledge you would have to rebuild? Either answer is useful.</w:t>
      </w:r>
    </w:p>
    <w:p>
      <w:pPr>
        <w:spacing w:before="320" w:after="120"/>
        <w:keepNext w:val="1"/>
        <w:keepLines w:val="1"/>
      </w:pPr>
      <w:r>
        <w:rPr>
          <w:b/>
          <w:i w:val="0"/>
          <w:color w:val="112345"/>
          <w:sz w:val="26"/>
        </w:rPr>
        <w:t>WHAT THIS EXERCISE CANNOT DO</w:t>
      </w:r>
    </w:p>
    <w:p>
      <w:pPr>
        <w:spacing w:after="80" w:line="278" w:lineRule="auto"/>
        <w:ind w:left="547" w:hanging="230"/>
      </w:pPr>
      <w:r>
        <w:rPr>
          <w:sz w:val="21"/>
        </w:rPr>
        <w:t>•   Keep only information you are permitted to retain.</w:t>
      </w:r>
    </w:p>
    <w:p>
      <w:pPr>
        <w:spacing w:after="80" w:line="278" w:lineRule="auto"/>
        <w:ind w:left="547" w:hanging="230"/>
      </w:pPr>
      <w:r>
        <w:rPr>
          <w:sz w:val="21"/>
        </w:rPr>
        <w:t>•   Do not jump from existence to effect because effect sounds more impressive.</w:t>
      </w:r>
    </w:p>
    <w:p>
      <w:pPr>
        <w:spacing w:before="320" w:after="120"/>
        <w:keepNext w:val="1"/>
        <w:keepLines w:val="1"/>
      </w:pPr>
      <w:r>
        <w:rPr>
          <w:b/>
          <w:i w:val="0"/>
          <w:color w:val="112345"/>
          <w:sz w:val="26"/>
        </w:rPr>
        <w:t>WHERE IT GOES</w:t>
      </w:r>
    </w:p>
    <w:p>
      <w:pPr>
        <w:spacing w:before="0" w:after="160"/>
      </w:pPr>
      <w:r>
        <w:rPr>
          <w:b w:val="0"/>
          <w:i w:val="0"/>
          <w:sz w:val="22"/>
        </w:rPr>
        <w:t>Keep it somewhere you will reread it. The value is in having written it down, not in the format.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8 viewer exercise  |  aligned to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