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STRATEGY — NOT PARTICIPANT-FACING</w:t>
            </w:r>
          </w:p>
          <w:p>
            <w:r>
              <w:rPr>
                <w:b/>
                <w:color w:val="FFFFFF"/>
                <w:sz w:val="40"/>
              </w:rPr>
              <w:t>Individual Offer Architecture</w:t>
            </w:r>
          </w:p>
          <w:p>
            <w:r>
              <w:rPr>
                <w:i/>
                <w:color w:val="E3D9C4"/>
                <w:sz w:val="22"/>
              </w:rPr>
              <w:t>Capability Formation  ·  v1.0  ·  Revised: Friday, August 14, 2026, 6:55 AM Central Time</w:t>
            </w:r>
          </w:p>
        </w:tc>
      </w:tr>
    </w:tbl>
    <w:p>
      <w:pPr>
        <w:spacing w:after="80"/>
      </w:pPr>
    </w:p>
    <w:p>
      <w:pPr>
        <w:spacing w:after="200"/>
      </w:pPr>
      <w:r>
        <w:rPr>
          <w:b/>
          <w:i w:val="0"/>
          <w:color w:val="000000"/>
          <w:sz w:val="19"/>
        </w:rPr>
        <w:t>How the individual side of Capability Formation is structured after the decision to make Decide Whether to Stay or Leave Your Job the free flagship demand engine. This document explains the ladder; it does not build any offer in it.</w:t>
      </w:r>
    </w:p>
    <w:p>
      <w:pPr>
        <w:spacing w:before="120" w:after="120"/>
      </w:pPr>
      <w:r>
        <w:rPr>
          <w:color w:val="555555"/>
          <w:sz w:val="16"/>
        </w:rPr>
        <w:t>――――――――――――――――――――――――――――――――――――――――――――――――――――――――――――――――――――――――――――――――――――――――――</w:t>
      </w:r>
    </w:p>
    <w:p>
      <w:pPr>
        <w:spacing w:before="320" w:after="160"/>
      </w:pPr>
      <w:r>
        <w:rPr>
          <w:b/>
          <w:color w:val="0F2347"/>
          <w:sz w:val="32"/>
        </w:rPr>
        <w:t>The individual ladder</w:t>
      </w:r>
    </w:p>
    <w:tbl>
      <w:tblPr>
        <w:tblW w:type="auto" w:w="0"/>
        <w:tblLayout w:type="fixed"/>
        <w:tblLook w:firstColumn="1" w:firstRow="1" w:lastColumn="0" w:lastRow="0" w:noHBand="0" w:noVBand="1" w:val="04A0"/>
      </w:tblPr>
      <w:tblGrid>
        <w:gridCol w:w="5040"/>
        <w:gridCol w:w="5040"/>
      </w:tblGrid>
      <w:tr>
        <w:tc>
          <w:tcPr>
            <w:tcW w:type="dxa" w:w="3600"/>
            <w:shd w:val="clear" w:fill="0F2347"/>
          </w:tcPr>
          <w:p>
            <w:r/>
            <w:r>
              <w:rPr>
                <w:b/>
                <w:color w:val="FFFFFF"/>
                <w:sz w:val="19"/>
              </w:rPr>
              <w:t>Level</w:t>
            </w:r>
          </w:p>
        </w:tc>
        <w:tc>
          <w:tcPr>
            <w:tcW w:type="dxa" w:w="6048"/>
            <w:shd w:val="clear" w:fill="0F2347"/>
          </w:tcPr>
          <w:p>
            <w:r/>
            <w:r>
              <w:rPr>
                <w:b/>
                <w:color w:val="FFFFFF"/>
                <w:sz w:val="19"/>
              </w:rPr>
              <w:t>Definition</w:t>
            </w:r>
          </w:p>
        </w:tc>
      </w:tr>
      <w:tr>
        <w:tc>
          <w:tcPr>
            <w:tcW w:type="dxa" w:w="3600"/>
          </w:tcPr>
          <w:p>
            <w:r/>
            <w:r>
              <w:rPr>
                <w:b/>
                <w:sz w:val="19"/>
              </w:rPr>
              <w:t>Level 1 — Recognition</w:t>
              <w:br/>
              <w:t>How to Tell If Your Career Is Stalling</w:t>
            </w:r>
          </w:p>
        </w:tc>
        <w:tc>
          <w:tcPr>
            <w:tcW w:type="dxa" w:w="6048"/>
          </w:tcPr>
          <w:p>
            <w:r/>
            <w:r>
              <w:rPr>
                <w:sz w:val="19"/>
              </w:rPr>
              <w:t>Free · 45 minutes · first scheduled delivery Wednesday, September 2, 2026, 6:00–6:45 PM CT. Helps someone recognise that their current role may deserve a closer read. It feeds the flagship. Not edited in this pass.</w:t>
            </w:r>
          </w:p>
        </w:tc>
      </w:tr>
      <w:tr>
        <w:tc>
          <w:tcPr>
            <w:tcW w:type="dxa" w:w="3600"/>
          </w:tcPr>
          <w:p>
            <w:r/>
            <w:r>
              <w:rPr>
                <w:b/>
                <w:sz w:val="19"/>
              </w:rPr>
              <w:t>Level 2 — Flagship assessment</w:t>
              <w:br/>
              <w:t>Decide Whether to Stay or Leave Your Job</w:t>
            </w:r>
          </w:p>
        </w:tc>
        <w:tc>
          <w:tcPr>
            <w:tcW w:type="dxa" w:w="6048"/>
          </w:tcPr>
          <w:p>
            <w:r/>
            <w:r>
              <w:rPr>
                <w:sz w:val="19"/>
              </w:rPr>
              <w:t>Free · 90 minutes · open registration · recorded 75-minute evergreen core plus 15-minute live-only Q&amp;A · first flagship delivery Wednesday, September 16, 2026, 6:00–7:30 PM CT. Lets people EXPERIENCE the method rather than hear about it.</w:t>
            </w:r>
          </w:p>
        </w:tc>
      </w:tr>
      <w:tr>
        <w:tc>
          <w:tcPr>
            <w:tcW w:type="dxa" w:w="3600"/>
          </w:tcPr>
          <w:p>
            <w:r/>
            <w:r>
              <w:rPr>
                <w:b/>
                <w:sz w:val="19"/>
              </w:rPr>
              <w:t>Level 3 — Self-guided</w:t>
              <w:br/>
              <w:t>Capability Formation Field Kit</w:t>
            </w:r>
          </w:p>
        </w:tc>
        <w:tc>
          <w:tcPr>
            <w:tcW w:type="dxa" w:w="6048"/>
          </w:tcPr>
          <w:p>
            <w:r/>
            <w:r>
              <w:rPr>
                <w:sz w:val="19"/>
              </w:rPr>
              <w:t>$150. Private, repeatable, evidence-led self-assessment and rescore system. Unchanged.</w:t>
            </w:r>
          </w:p>
        </w:tc>
      </w:tr>
      <w:tr>
        <w:tc>
          <w:tcPr>
            <w:tcW w:type="dxa" w:w="3600"/>
          </w:tcPr>
          <w:p>
            <w:r/>
            <w:r>
              <w:rPr>
                <w:b/>
                <w:sz w:val="19"/>
              </w:rPr>
              <w:t>Level 4 — High-touch individual</w:t>
              <w:br/>
              <w:t>Private Capability Position Read</w:t>
            </w:r>
          </w:p>
        </w:tc>
        <w:tc>
          <w:tcPr>
            <w:tcW w:type="dxa" w:w="6048"/>
          </w:tcPr>
          <w:p>
            <w:r/>
            <w:r>
              <w:rPr>
                <w:sz w:val="19"/>
              </w:rPr>
              <w:t>Working starting price $500. Applies the evidence to the person's actual career context, constraints, opportunities, timing, stakeholders and decision. Not built in this pass.</w:t>
            </w:r>
          </w:p>
        </w:tc>
      </w:tr>
      <w:tr>
        <w:tc>
          <w:tcPr>
            <w:tcW w:type="dxa" w:w="3600"/>
          </w:tcPr>
          <w:p>
            <w:r/>
            <w:r>
              <w:rPr>
                <w:b/>
                <w:sz w:val="19"/>
              </w:rPr>
              <w:t>Level 5 — Deeper individual support</w:t>
            </w:r>
          </w:p>
        </w:tc>
        <w:tc>
          <w:tcPr>
            <w:tcW w:type="dxa" w:w="6048"/>
          </w:tcPr>
          <w:p>
            <w:r/>
            <w:r>
              <w:rPr>
                <w:sz w:val="19"/>
              </w:rPr>
              <w:t>Future. Possible role: 30/60/90-day transition or decision support. Not priced, not built.</w:t>
            </w:r>
          </w:p>
        </w:tc>
      </w:tr>
    </w:tbl>
    <w:p>
      <w:pPr>
        <w:spacing w:after="80"/>
      </w:pPr>
    </w:p>
    <w:p>
      <w:pPr>
        <w:spacing w:before="120" w:after="120"/>
      </w:pPr>
      <w:r>
        <w:rPr>
          <w:color w:val="555555"/>
          <w:sz w:val="16"/>
        </w:rPr>
        <w:t>――――――――――――――――――――――――――――――――――――――――――――――――――――――――――――――――――――――――――――――――――――――――――</w:t>
      </w:r>
    </w:p>
    <w:p>
      <w:pPr>
        <w:spacing w:before="320" w:after="160"/>
      </w:pPr>
      <w:r>
        <w:rPr>
          <w:b/>
          <w:color w:val="0F2347"/>
          <w:sz w:val="32"/>
        </w:rPr>
        <w:t>What the flagship is for</w:t>
      </w:r>
    </w:p>
    <w:p>
      <w:pPr>
        <w:spacing w:after="160"/>
      </w:pPr>
      <w:r>
        <w:rPr>
          <w:b w:val="0"/>
          <w:i w:val="0"/>
          <w:color w:val="000000"/>
          <w:sz w:val="21"/>
        </w:rPr>
        <w:t>The flagship's job is experiential, not informational. A participant does not leave having heard that evidence discipline changes a reading — they leave having watched their own reading change, or having watched it hold and trusting it more.</w:t>
      </w:r>
    </w:p>
    <w:p>
      <w:pPr>
        <w:spacing w:after="160"/>
      </w:pPr>
      <w:r>
        <w:rPr>
          <w:b/>
          <w:i w:val="0"/>
          <w:color w:val="000000"/>
          <w:sz w:val="21"/>
        </w:rPr>
        <w:t>That is the demonstration of Capability Formation, and it is why the two-pass structure survives compression from 120 minutes to 90. Everything else was shortened; the second full read was protected.</w:t>
      </w:r>
    </w:p>
    <w:p>
      <w:pPr>
        <w:spacing w:before="120" w:after="120"/>
      </w:pPr>
      <w:r>
        <w:rPr>
          <w:color w:val="555555"/>
          <w:sz w:val="16"/>
        </w:rPr>
        <w:t>――――――――――――――――――――――――――――――――――――――――――――――――――――――――――――――――――――――――――――――――――――――――――</w:t>
      </w:r>
    </w:p>
    <w:p>
      <w:pPr>
        <w:spacing w:before="320" w:after="160"/>
      </w:pPr>
      <w:r>
        <w:rPr>
          <w:b/>
          <w:color w:val="0F2347"/>
          <w:sz w:val="32"/>
        </w:rPr>
        <w:t>Free versus paid — where the boundary sits</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r>
          </w:p>
        </w:tc>
        <w:tc>
          <w:tcPr>
            <w:tcW w:type="dxa" w:w="6624"/>
            <w:shd w:val="clear" w:fill="0F2347"/>
          </w:tcPr>
          <w:p>
            <w:r/>
            <w:r>
              <w:rPr>
                <w:b/>
                <w:color w:val="FFFFFF"/>
                <w:sz w:val="19"/>
              </w:rPr>
            </w:r>
          </w:p>
        </w:tc>
      </w:tr>
      <w:tr>
        <w:tc>
          <w:tcPr>
            <w:tcW w:type="dxa" w:w="3024"/>
          </w:tcPr>
          <w:p>
            <w:r/>
            <w:r>
              <w:rPr>
                <w:b/>
                <w:sz w:val="19"/>
              </w:rPr>
              <w:t>The free flagship gives</w:t>
            </w:r>
          </w:p>
        </w:tc>
        <w:tc>
          <w:tcPr>
            <w:tcW w:type="dxa" w:w="6624"/>
          </w:tcPr>
          <w:p>
            <w:r/>
            <w:r>
              <w:rPr>
                <w:sz w:val="19"/>
              </w:rPr>
              <w:t>The full instrument, both readings, the evidence protocol, the sensitivity convention, the Four States, the seven move categories, and a three-line Next-Move Note.</w:t>
            </w:r>
          </w:p>
        </w:tc>
      </w:tr>
      <w:tr>
        <w:tc>
          <w:tcPr>
            <w:tcW w:type="dxa" w:w="3024"/>
          </w:tcPr>
          <w:p>
            <w:r/>
            <w:r>
              <w:rPr>
                <w:b/>
                <w:sz w:val="19"/>
              </w:rPr>
              <w:t>The paid routes give</w:t>
            </w:r>
          </w:p>
        </w:tc>
        <w:tc>
          <w:tcPr>
            <w:tcW w:type="dxa" w:w="6624"/>
          </w:tcPr>
          <w:p>
            <w:r/>
            <w:r>
              <w:rPr>
                <w:sz w:val="19"/>
              </w:rPr>
              <w:t>The fuller state-cost work, the repeatable private rescore system, and — at the high-touch level — interpretation applied to one person's actual context and decision.</w:t>
            </w:r>
          </w:p>
        </w:tc>
      </w:tr>
      <w:tr>
        <w:tc>
          <w:tcPr>
            <w:tcW w:type="dxa" w:w="3024"/>
          </w:tcPr>
          <w:p>
            <w:r/>
            <w:r>
              <w:rPr>
                <w:b/>
                <w:sz w:val="19"/>
              </w:rPr>
              <w:t>The line, stated simply</w:t>
            </w:r>
          </w:p>
        </w:tc>
        <w:tc>
          <w:tcPr>
            <w:tcW w:type="dxa" w:w="6624"/>
          </w:tcPr>
          <w:p>
            <w:r/>
            <w:r>
              <w:rPr>
                <w:sz w:val="19"/>
              </w:rPr>
              <w:t>The free flagship helps someone READ THE POSITION. The private experience helps someone APPLY THE READING TO THE DECISION.</w:t>
            </w:r>
          </w:p>
        </w:tc>
      </w:tr>
    </w:tbl>
    <w:p>
      <w:pPr>
        <w:spacing w:after="80"/>
      </w:pPr>
    </w:p>
    <w:p>
      <w:pPr>
        <w:spacing w:after="160"/>
      </w:pPr>
      <w:r>
        <w:rPr>
          <w:b/>
          <w:i w:val="0"/>
          <w:color w:val="000000"/>
          <w:sz w:val="19"/>
        </w:rPr>
        <w:t>The flagship is not a teaser. It is complete on its own terms, and it is designed to be worth attending even if the participant never buys anything.</w:t>
      </w:r>
    </w:p>
    <w:p>
      <w:pPr>
        <w:spacing w:before="120" w:after="120"/>
      </w:pPr>
      <w:r>
        <w:rPr>
          <w:color w:val="555555"/>
          <w:sz w:val="16"/>
        </w:rPr>
        <w:t>――――――――――――――――――――――――――――――――――――――――――――――――――――――――――――――――――――――――――――――――――――――――――</w:t>
      </w:r>
    </w:p>
    <w:p>
      <w:pPr>
        <w:spacing w:before="320" w:after="160"/>
      </w:pPr>
      <w:r>
        <w:rPr>
          <w:b/>
          <w:color w:val="0F2347"/>
          <w:sz w:val="32"/>
        </w:rPr>
        <w:t>The Intensive / Small-Room Edition</w:t>
      </w:r>
    </w:p>
    <w:p>
      <w:pPr>
        <w:spacing w:after="160"/>
      </w:pPr>
      <w:r>
        <w:rPr>
          <w:b/>
          <w:i w:val="0"/>
          <w:color w:val="000000"/>
          <w:sz w:val="21"/>
        </w:rPr>
        <w:t>The existing two-hour workshop is NOT superseded. It is reclassified as the Capability Position Read — Intensive / Small-Room Edition, preserved unchanged at Decide_Whether_to_Stay_or_Leave_Your_Job_WORKSHOP_DECK_v5.3.1_FINAL.pptx.</w:t>
      </w:r>
    </w:p>
    <w:p>
      <w:pPr>
        <w:spacing w:after="160"/>
      </w:pPr>
      <w:r>
        <w:rPr>
          <w:b w:val="0"/>
          <w:i w:val="0"/>
          <w:color w:val="000000"/>
          <w:sz w:val="21"/>
        </w:rPr>
        <w:t>What justifies preserving it: the full two-pass method with a 105-minute guided core and 15-minute Q&amp;A, staged materials and readiness gates, detailed polling architecture, the full state-cost work, the complete ten-line Next-Move Decision, a protected eight-minute writing block, small-room privacy operations, and follow-through infrastructure.</w:t>
      </w:r>
    </w:p>
    <w:p>
      <w:pPr>
        <w:spacing w:after="160"/>
      </w:pPr>
      <w:r>
        <w:rPr>
          <w:b w:val="0"/>
          <w:i w:val="0"/>
          <w:color w:val="000000"/>
          <w:sz w:val="21"/>
        </w:rPr>
        <w:t>Potential later use: sponsor-funded university and alumni cohorts, employer-paid groups, executive education, private small-group intensives, and transition or outplacement partnerships. No new pricing is assigned to it in this pass.</w:t>
      </w:r>
    </w:p>
    <w:p>
      <w:pPr>
        <w:spacing w:before="120" w:after="120"/>
      </w:pPr>
      <w:r>
        <w:rPr>
          <w:color w:val="555555"/>
          <w:sz w:val="16"/>
        </w:rPr>
        <w:t>――――――――――――――――――――――――――――――――――――――――――――――――――――――――――――――――――――――――――――――――――――――――――</w:t>
      </w:r>
    </w:p>
    <w:p>
      <w:pPr>
        <w:spacing w:before="320" w:after="160"/>
      </w:pPr>
      <w:r>
        <w:rPr>
          <w:b/>
          <w:color w:val="0F2347"/>
          <w:sz w:val="32"/>
        </w:rPr>
        <w:t>The recording model</w:t>
      </w:r>
    </w:p>
    <w:tbl>
      <w:tblPr>
        <w:tblW w:type="auto" w:w="0"/>
        <w:tblLayout w:type="fixed"/>
        <w:tblLook w:firstColumn="1" w:firstRow="1" w:lastColumn="0" w:lastRow="0" w:noHBand="0" w:noVBand="1" w:val="04A0"/>
      </w:tblPr>
      <w:tblGrid>
        <w:gridCol w:w="5040"/>
        <w:gridCol w:w="5040"/>
      </w:tblGrid>
      <w:tr>
        <w:tc>
          <w:tcPr>
            <w:tcW w:type="dxa" w:w="2448"/>
            <w:shd w:val="clear" w:fill="0F2347"/>
          </w:tcPr>
          <w:p>
            <w:r/>
            <w:r>
              <w:rPr>
                <w:b/>
                <w:color w:val="FFFFFF"/>
                <w:sz w:val="19"/>
              </w:rPr>
              <w:t>Segment</w:t>
            </w:r>
          </w:p>
        </w:tc>
        <w:tc>
          <w:tcPr>
            <w:tcW w:type="dxa" w:w="7200"/>
            <w:shd w:val="clear" w:fill="0F2347"/>
          </w:tcPr>
          <w:p>
            <w:r/>
            <w:r>
              <w:rPr>
                <w:b/>
                <w:color w:val="FFFFFF"/>
                <w:sz w:val="19"/>
              </w:rPr>
              <w:t>Treatment</w:t>
            </w:r>
          </w:p>
        </w:tc>
      </w:tr>
      <w:tr>
        <w:tc>
          <w:tcPr>
            <w:tcW w:type="dxa" w:w="2448"/>
          </w:tcPr>
          <w:p>
            <w:r/>
            <w:r>
              <w:rPr>
                <w:b/>
                <w:sz w:val="19"/>
              </w:rPr>
              <w:t>Minutes 0–75</w:t>
            </w:r>
          </w:p>
        </w:tc>
        <w:tc>
          <w:tcPr>
            <w:tcW w:type="dxa" w:w="7200"/>
          </w:tcPr>
          <w:p>
            <w:r/>
            <w:r>
              <w:rPr>
                <w:sz w:val="19"/>
              </w:rPr>
              <w:t>Recorded teaching and assessment core. Evergreen. May be published.</w:t>
            </w:r>
          </w:p>
        </w:tc>
      </w:tr>
      <w:tr>
        <w:tc>
          <w:tcPr>
            <w:tcW w:type="dxa" w:w="2448"/>
          </w:tcPr>
          <w:p>
            <w:r/>
            <w:r>
              <w:rPr>
                <w:b/>
                <w:sz w:val="19"/>
              </w:rPr>
              <w:t>Minutes 75–90</w:t>
            </w:r>
          </w:p>
        </w:tc>
        <w:tc>
          <w:tcPr>
            <w:tcW w:type="dxa" w:w="7200"/>
          </w:tcPr>
          <w:p>
            <w:r/>
            <w:r>
              <w:rPr>
                <w:sz w:val="19"/>
              </w:rPr>
              <w:t>Live Questions &amp; Applications. Never part of the public replay.</w:t>
            </w:r>
          </w:p>
        </w:tc>
      </w:tr>
      <w:tr>
        <w:tc>
          <w:tcPr>
            <w:tcW w:type="dxa" w:w="2448"/>
          </w:tcPr>
          <w:p>
            <w:r/>
            <w:r>
              <w:rPr>
                <w:b/>
                <w:sz w:val="19"/>
              </w:rPr>
              <w:t>Why</w:t>
            </w:r>
          </w:p>
        </w:tc>
        <w:tc>
          <w:tcPr>
            <w:tcW w:type="dxa" w:w="7200"/>
          </w:tcPr>
          <w:p>
            <w:r/>
            <w:r>
              <w:rPr>
                <w:sz w:val="19"/>
              </w:rPr>
              <w:t>The core keeps generating demand after the live date; the Q&amp;A protects participant-specific questions, employer names and personal circumstances from becoming permanent public record.</w:t>
            </w:r>
          </w:p>
        </w:tc>
      </w:tr>
    </w:tbl>
    <w:p>
      <w:pPr>
        <w:spacing w:after="80"/>
      </w:pPr>
    </w:p>
    <w:p>
      <w:pPr>
        <w:spacing w:before="120" w:after="120"/>
      </w:pPr>
      <w:r>
        <w:rPr>
          <w:color w:val="555555"/>
          <w:sz w:val="16"/>
        </w:rPr>
        <w:t>――――――――――――――――――――――――――――――――――――――――――――――――――――――――――――――――――――――――――――――――――――――――――</w:t>
      </w:r>
    </w:p>
    <w:p>
      <w:pPr>
        <w:spacing w:before="320" w:after="160"/>
      </w:pPr>
      <w:r>
        <w:rPr>
          <w:b/>
          <w:color w:val="0F2347"/>
          <w:sz w:val="32"/>
        </w:rPr>
        <w:t>The open-registration model</w:t>
      </w:r>
    </w:p>
    <w:p>
      <w:pPr>
        <w:spacing w:after="160"/>
      </w:pPr>
      <w:r>
        <w:rPr>
          <w:b w:val="0"/>
          <w:i w:val="0"/>
          <w:color w:val="000000"/>
          <w:sz w:val="21"/>
        </w:rPr>
        <w:t>Open registration, no artificial commercial cap, no scarcity framing. The commercial policy and the technical reality are deliberately separated: live platform capacity remains an operational watch item and has not been upgraded. See Free Flagship SOP Section 8.</w:t>
      </w:r>
    </w:p>
    <w:p>
      <w:pPr>
        <w:spacing w:before="120" w:after="120"/>
      </w:pPr>
      <w:r>
        <w:rPr>
          <w:color w:val="555555"/>
          <w:sz w:val="16"/>
        </w:rPr>
        <w:t>――――――――――――――――――――――――――――――――――――――――――――――――――――――――――――――――――――――――――――――――――――――――――</w:t>
      </w:r>
    </w:p>
    <w:p>
      <w:pPr>
        <w:spacing w:before="320" w:after="160"/>
      </w:pPr>
      <w:r>
        <w:rPr>
          <w:b/>
          <w:color w:val="0F2347"/>
          <w:sz w:val="32"/>
        </w:rPr>
        <w:t>September 2 → September 16</w:t>
      </w:r>
    </w:p>
    <w:tbl>
      <w:tblPr>
        <w:tblW w:type="auto" w:w="0"/>
        <w:tblLayout w:type="fixed"/>
        <w:tblLook w:firstColumn="1" w:firstRow="1" w:lastColumn="0" w:lastRow="0" w:noHBand="0" w:noVBand="1" w:val="04A0"/>
      </w:tblPr>
      <w:tblGrid>
        <w:gridCol w:w="5040"/>
        <w:gridCol w:w="5040"/>
      </w:tblGrid>
      <w:tr>
        <w:tc>
          <w:tcPr>
            <w:tcW w:type="dxa" w:w="3312"/>
            <w:shd w:val="clear" w:fill="0F2347"/>
          </w:tcPr>
          <w:p>
            <w:r/>
            <w:r>
              <w:rPr>
                <w:b/>
                <w:color w:val="FFFFFF"/>
                <w:sz w:val="19"/>
              </w:rPr>
              <w:t>Session</w:t>
            </w:r>
          </w:p>
        </w:tc>
        <w:tc>
          <w:tcPr>
            <w:tcW w:type="dxa" w:w="6336"/>
            <w:shd w:val="clear" w:fill="0F2347"/>
          </w:tcPr>
          <w:p>
            <w:r/>
            <w:r>
              <w:rPr>
                <w:b/>
                <w:color w:val="FFFFFF"/>
                <w:sz w:val="19"/>
              </w:rPr>
              <w:t>Role</w:t>
            </w:r>
          </w:p>
        </w:tc>
      </w:tr>
      <w:tr>
        <w:tc>
          <w:tcPr>
            <w:tcW w:type="dxa" w:w="3312"/>
          </w:tcPr>
          <w:p>
            <w:r/>
            <w:r>
              <w:rPr>
                <w:b/>
                <w:sz w:val="19"/>
              </w:rPr>
              <w:t>Wednesday, September 2</w:t>
              <w:br/>
              <w:t>6:00–6:45 PM CT · Free</w:t>
            </w:r>
          </w:p>
        </w:tc>
        <w:tc>
          <w:tcPr>
            <w:tcW w:type="dxa" w:w="6336"/>
          </w:tcPr>
          <w:p>
            <w:r/>
            <w:r>
              <w:rPr>
                <w:sz w:val="19"/>
              </w:rPr>
              <w:t>How to Tell If Your Career Is Stalling. Recognition question: “Does something about my current work deserve a closer read?” Primary next step: the September 16 flagship.</w:t>
            </w:r>
          </w:p>
        </w:tc>
      </w:tr>
      <w:tr>
        <w:tc>
          <w:tcPr>
            <w:tcW w:type="dxa" w:w="3312"/>
          </w:tcPr>
          <w:p>
            <w:r/>
            <w:r>
              <w:rPr>
                <w:b/>
                <w:sz w:val="19"/>
              </w:rPr>
              <w:t>Wednesday, September 16</w:t>
              <w:br/>
              <w:t>6:00–7:30 PM CT · Free</w:t>
            </w:r>
          </w:p>
        </w:tc>
        <w:tc>
          <w:tcPr>
            <w:tcW w:type="dxa" w:w="6336"/>
          </w:tcPr>
          <w:p>
            <w:r/>
            <w:r>
              <w:rPr>
                <w:sz w:val="19"/>
              </w:rPr>
              <w:t>Decide Whether to Stay or Leave Your Job. Flagship question: “What does my recent evidence actually say about the position I am in?” Deeper routes: $150 Field Kit, Private Capability Position Read.</w:t>
            </w:r>
          </w:p>
        </w:tc>
      </w:tr>
    </w:tbl>
    <w:p>
      <w:pPr>
        <w:spacing w:after="80"/>
      </w:pPr>
    </w:p>
    <w:p>
      <w:pPr>
        <w:spacing w:after="160"/>
      </w:pPr>
      <w:r>
        <w:rPr>
          <w:b/>
          <w:i w:val="0"/>
          <w:color w:val="B00000"/>
          <w:sz w:val="19"/>
        </w:rPr>
        <w:t>There is no $500 group-workshop pitch in this funnel, no retired fulfillment code, and no paid-cohort scarcity.</w:t>
      </w:r>
    </w:p>
    <w:p>
      <w:pPr>
        <w:spacing w:before="120" w:after="120"/>
      </w:pPr>
      <w:r>
        <w:rPr>
          <w:color w:val="555555"/>
          <w:sz w:val="16"/>
        </w:rPr>
        <w:t>――――――――――――――――――――――――――――――――――――――――――――――――――――――――――――――――――――――――――――――――――――――――――</w:t>
      </w:r>
    </w:p>
    <w:p>
      <w:pPr>
        <w:spacing w:before="320" w:after="160"/>
      </w:pPr>
      <w:r>
        <w:rPr>
          <w:b/>
          <w:color w:val="0F2347"/>
          <w:sz w:val="32"/>
        </w:rPr>
        <w:t>School and institutional use</w:t>
      </w:r>
    </w:p>
    <w:tbl>
      <w:tblPr>
        <w:tblW w:type="auto" w:w="0"/>
        <w:tblLayout w:type="fixed"/>
        <w:tblLook w:firstColumn="1" w:firstRow="1" w:lastColumn="0" w:lastRow="0" w:noHBand="0" w:noVBand="1" w:val="04A0"/>
      </w:tblPr>
      <w:tblGrid>
        <w:gridCol w:w="5040"/>
        <w:gridCol w:w="5040"/>
      </w:tblGrid>
      <w:tr>
        <w:tc>
          <w:tcPr>
            <w:tcW w:type="dxa" w:w="3312"/>
            <w:shd w:val="clear" w:fill="0F2347"/>
          </w:tcPr>
          <w:p>
            <w:r/>
            <w:r>
              <w:rPr>
                <w:b/>
                <w:color w:val="FFFFFF"/>
                <w:sz w:val="19"/>
              </w:rPr>
              <w:t>Mode</w:t>
            </w:r>
          </w:p>
        </w:tc>
        <w:tc>
          <w:tcPr>
            <w:tcW w:type="dxa" w:w="6336"/>
            <w:shd w:val="clear" w:fill="0F2347"/>
          </w:tcPr>
          <w:p>
            <w:r/>
            <w:r>
              <w:rPr>
                <w:b/>
                <w:color w:val="FFFFFF"/>
                <w:sz w:val="19"/>
              </w:rPr>
              <w:t>Definition</w:t>
            </w:r>
          </w:p>
        </w:tc>
      </w:tr>
      <w:tr>
        <w:tc>
          <w:tcPr>
            <w:tcW w:type="dxa" w:w="3312"/>
          </w:tcPr>
          <w:p>
            <w:r/>
            <w:r>
              <w:rPr>
                <w:b/>
                <w:sz w:val="19"/>
              </w:rPr>
              <w:t>A — Public distribution partner</w:t>
            </w:r>
          </w:p>
        </w:tc>
        <w:tc>
          <w:tcPr>
            <w:tcW w:type="dxa" w:w="6336"/>
          </w:tcPr>
          <w:p>
            <w:r/>
            <w:r>
              <w:rPr>
                <w:sz w:val="19"/>
              </w:rPr>
              <w:t>A school, alumni group or association sends its audience to the public free flagship. No private delivery is promised.</w:t>
            </w:r>
          </w:p>
        </w:tc>
      </w:tr>
      <w:tr>
        <w:tc>
          <w:tcPr>
            <w:tcW w:type="dxa" w:w="3312"/>
          </w:tcPr>
          <w:p>
            <w:r/>
            <w:r>
              <w:rPr>
                <w:b/>
                <w:sz w:val="19"/>
              </w:rPr>
              <w:t>B — Guest / signature session</w:t>
            </w:r>
          </w:p>
        </w:tc>
        <w:tc>
          <w:tcPr>
            <w:tcW w:type="dxa" w:w="6336"/>
          </w:tcPr>
          <w:p>
            <w:r/>
            <w:r>
              <w:rPr>
                <w:sz w:val="19"/>
              </w:rPr>
              <w:t>Temidayo delivers the 90-minute flagship live for an institution. The commercial arrangement is not defined in this pass, and guest delivery is not automatically free merely because the public flagship is free.</w:t>
            </w:r>
          </w:p>
        </w:tc>
      </w:tr>
      <w:tr>
        <w:tc>
          <w:tcPr>
            <w:tcW w:type="dxa" w:w="3312"/>
          </w:tcPr>
          <w:p>
            <w:r/>
            <w:r>
              <w:rPr>
                <w:b/>
                <w:sz w:val="19"/>
              </w:rPr>
              <w:t>C — Private intensive</w:t>
            </w:r>
          </w:p>
        </w:tc>
        <w:tc>
          <w:tcPr>
            <w:tcW w:type="dxa" w:w="6336"/>
          </w:tcPr>
          <w:p>
            <w:r/>
            <w:r>
              <w:rPr>
                <w:sz w:val="19"/>
              </w:rPr>
              <w:t>The institution wants deeper work for a defined cohort. Potential source: the existing Intensive / Small-Room Edition. This is a later institutional offer-design task.</w:t>
            </w:r>
          </w:p>
        </w:tc>
      </w:tr>
    </w:tbl>
    <w:p>
      <w:pPr>
        <w:spacing w:after="80"/>
      </w:pPr>
    </w:p>
    <w:p>
      <w:pPr>
        <w:spacing w:after="160"/>
      </w:pPr>
      <w:r>
        <w:rPr>
          <w:b w:val="0"/>
          <w:i w:val="0"/>
          <w:color w:val="000000"/>
          <w:sz w:val="19"/>
        </w:rPr>
        <w:t>The deck is deliberately not structurally dependent on any delivery platform, so the same core presentation serves all three without a second build. The hidden INSTITUTIONAL DELIVERY CLOSE appendix slide replaces the commercial close.</w:t>
      </w:r>
    </w:p>
    <w:p>
      <w:pPr>
        <w:spacing w:before="120" w:after="120"/>
      </w:pPr>
      <w:r>
        <w:rPr>
          <w:color w:val="555555"/>
          <w:sz w:val="16"/>
        </w:rPr>
        <w:t>――――――――――――――――――――――――――――――――――――――――――――――――――――――――――――――――――――――――――――――――――――――――――</w:t>
      </w:r>
    </w:p>
    <w:p>
      <w:pPr>
        <w:spacing w:before="320" w:after="160"/>
      </w:pPr>
      <w:r>
        <w:rPr>
          <w:b/>
          <w:color w:val="0F2347"/>
          <w:sz w:val="32"/>
        </w:rPr>
        <w:t>The enterprise boundary</w:t>
      </w:r>
    </w:p>
    <w:p>
      <w:pPr>
        <w:spacing w:after="160"/>
      </w:pPr>
      <w:r>
        <w:rPr>
          <w:b w:val="0"/>
          <w:i w:val="0"/>
          <w:color w:val="000000"/>
          <w:sz w:val="21"/>
        </w:rPr>
        <w:t>The individual flagship may create institutional invitations, university partnerships, sponsored cohorts, employer demand, executive education opportunities and organisational Capability Formation conversations. The Density Group remains the enterprise home. The public individual ladder is not the enterprise offer architecture and must not be turned into one.</w:t>
      </w:r>
    </w:p>
    <w:p>
      <w:pPr>
        <w:spacing w:before="120" w:after="120"/>
      </w:pPr>
      <w:r>
        <w:rPr>
          <w:color w:val="555555"/>
          <w:sz w:val="16"/>
        </w:rPr>
        <w:t>――――――――――――――――――――――――――――――――――――――――――――――――――――――――――――――――――――――――――――――――――――――――――</w:t>
      </w:r>
    </w:p>
    <w:p>
      <w:pPr>
        <w:spacing w:before="320" w:after="160"/>
      </w:pPr>
      <w:r>
        <w:rPr>
          <w:b/>
          <w:color w:val="0F2347"/>
          <w:sz w:val="32"/>
        </w:rPr>
        <w:t>Intentionally deferred</w:t>
      </w:r>
    </w:p>
    <w:p>
      <w:pPr>
        <w:pStyle w:val="ListBullet"/>
        <w:spacing w:after="60"/>
      </w:pPr>
      <w:r>
        <w:rPr>
          <w:color w:val="000000"/>
          <w:sz w:val="19"/>
        </w:rPr>
        <w:t>The streamlined free flagship participant worksheet.</w:t>
      </w:r>
    </w:p>
    <w:p>
      <w:pPr>
        <w:pStyle w:val="ListBullet"/>
        <w:spacing w:after="60"/>
      </w:pPr>
      <w:r>
        <w:rPr>
          <w:color w:val="000000"/>
          <w:sz w:val="19"/>
        </w:rPr>
        <w:t>Private Capability Position Read: materials, booking, pricing page, fulfillment.</w:t>
      </w:r>
    </w:p>
    <w:p>
      <w:pPr>
        <w:pStyle w:val="ListBullet"/>
        <w:spacing w:after="60"/>
      </w:pPr>
      <w:r>
        <w:rPr>
          <w:color w:val="000000"/>
          <w:sz w:val="19"/>
        </w:rPr>
        <w:t>Level 5 deeper individual support: role and price.</w:t>
      </w:r>
    </w:p>
    <w:p>
      <w:pPr>
        <w:pStyle w:val="ListBullet"/>
        <w:spacing w:after="60"/>
      </w:pPr>
      <w:r>
        <w:rPr>
          <w:color w:val="000000"/>
          <w:sz w:val="19"/>
        </w:rPr>
        <w:t>Institutional pricing, proposals and SOWs for modes B and C.</w:t>
      </w:r>
    </w:p>
    <w:p>
      <w:pPr>
        <w:pStyle w:val="ListBullet"/>
        <w:spacing w:after="60"/>
      </w:pPr>
      <w:r>
        <w:rPr>
          <w:color w:val="000000"/>
          <w:sz w:val="19"/>
        </w:rPr>
        <w:t>Maven page copy and configuration; email and replay sequences.</w:t>
      </w:r>
    </w:p>
    <w:p>
      <w:pPr>
        <w:pStyle w:val="ListBullet"/>
        <w:spacing w:after="60"/>
      </w:pPr>
      <w:r>
        <w:rPr>
          <w:color w:val="000000"/>
          <w:sz w:val="19"/>
        </w:rPr>
        <w:t>Field Kit, Gumroad, Phase 2A, Phase 2B and Phase 2C revisions.</w:t>
      </w:r>
    </w:p>
    <w:p>
      <w:pPr>
        <w:pStyle w:val="ListBullet"/>
        <w:spacing w:after="60"/>
      </w:pPr>
      <w:r>
        <w:rPr>
          <w:color w:val="000000"/>
          <w:sz w:val="19"/>
        </w:rPr>
        <w:t>Website, LinkedIn and Substack copy.</w:t>
      </w:r>
    </w:p>
    <w:p>
      <w:pPr>
        <w:spacing w:before="120" w:after="120"/>
      </w:pPr>
      <w:r>
        <w:rPr>
          <w:color w:val="555555"/>
          <w:sz w:val="16"/>
        </w:rPr>
        <w:t>――――――――――――――――――――――――――――――――――――――――――――――――――――――――――――――――――――――――――――――――――――――――――</w:t>
      </w:r>
    </w:p>
    <w:p>
      <w:pPr>
        <w:spacing w:after="0"/>
      </w:pPr>
      <w:r>
        <w:rPr>
          <w:b w:val="0"/>
          <w:i/>
          <w:color w:val="555555"/>
          <w:sz w:val="16"/>
        </w:rPr>
        <w:t>CAPABILITY FORMATION — INDIVIDUAL OFFER ARCHITECTURE v1.0  ·  INTERNAL ONLY  ·  Revised: Friday, August 14, 2026, 6:55 AM Central Time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