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v5.1 — Timing Map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105-minute guided Capability Position Read + 15-minute Q&amp;A, inside a two-hour calendar block. The 30-Day Evidence Review is a separate, later event — not part of this timing.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Band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Segment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Slide(s)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0-8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Opening, boundary, story, vantage, and reframe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1-8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8-14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Density, Optionality, and brief AI application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9-11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14-24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Full initial read and totals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12-17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24-31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Safety, matrix, first placement, and confidence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18-20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31-33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Release Part 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33-48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Evidence protocol and three misreadings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22-28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48-64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Full evidence-backed reread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64-71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Sensitivity check and corrected placement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30-31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71-77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What moved and what calibration means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32-33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77-84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State costs and personal cost reflection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34-36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84-88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Move categories and decision setup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37-38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88-96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Protected eight-minute silent writing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96-100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Permissioned voluntary reads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100-105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Field Kit, follow-through, and close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41-42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105-120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Q&amp;A and optional applications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43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2"/>
        </w:rPr>
        <w:t>Unchanged from v5.0. Appendix slides (44-46) remain outside the timed core.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THE 30-DAY EVIDENCE REVIEW IS NOT A TIMING BAND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It is an included deliverable, mentioned on the OUTCOME slide (8) and the CLOSE slide (41), both inside the existing 100-105 band without changing that band's length or content structure. The Review itself is a separate 45-minute live group session held approximately 30 days after the two-hour assessment — it has its own future date, confirmed by email after the session, and is not part of the 0-120 minute core-plus-Q&amp;A timing above.</w:t>
      </w:r>
    </w:p>
    <w:p>
      <w:pPr>
        <w:pStyle w:val="ListBullet"/>
        <w:spacing w:after="60"/>
      </w:pPr>
      <w:r>
        <w:rPr>
          <w:sz w:val="22"/>
        </w:rPr>
        <w:t>Review evidence collected during the first 30 days.</w:t>
      </w:r>
    </w:p>
    <w:p>
      <w:pPr>
        <w:pStyle w:val="ListBullet"/>
        <w:spacing w:after="60"/>
      </w:pPr>
      <w:r>
        <w:rPr>
          <w:sz w:val="22"/>
        </w:rPr>
        <w:t>Examine whether the participant's initial move category still holds.</w:t>
      </w:r>
    </w:p>
    <w:p>
      <w:pPr>
        <w:pStyle w:val="ListBullet"/>
        <w:spacing w:after="60"/>
      </w:pPr>
      <w:r>
        <w:rPr>
          <w:sz w:val="22"/>
        </w:rPr>
        <w:t>Identify what changed in the work, evidence, or interpretation.</w:t>
      </w:r>
    </w:p>
    <w:p>
      <w:pPr>
        <w:pStyle w:val="ListBullet"/>
        <w:spacing w:after="60"/>
      </w:pPr>
      <w:r>
        <w:rPr>
          <w:sz w:val="22"/>
        </w:rPr>
        <w:t>Reinforce the 90-day rescore process.</w:t>
      </w:r>
    </w:p>
    <w:p>
      <w:pPr>
        <w:pStyle w:val="ListBullet"/>
        <w:spacing w:after="60"/>
      </w:pPr>
      <w:r>
        <w:rPr>
          <w:sz w:val="22"/>
        </w:rPr>
        <w:t>Answer process and application questions without prescribing employment decisions.</w:t>
      </w:r>
    </w:p>
    <w:p>
      <w:pPr>
        <w:spacing w:after="120" w:before="80"/>
      </w:pPr>
      <w:r>
        <w:rPr>
          <w:b/>
          <w:i w:val="0"/>
          <w:color w:val="B00000"/>
          <w:sz w:val="22"/>
        </w:rPr>
        <w:t>Does not repeat the full 12-statement assessment. Does not collect private scores or workbook responses.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HARD CONSTRAINTS (unchanged from v5.0)</w:t>
      </w:r>
    </w:p>
    <w:p>
      <w:pPr>
        <w:pStyle w:val="ListBullet"/>
        <w:spacing w:after="60"/>
      </w:pPr>
      <w:r>
        <w:rPr>
          <w:sz w:val="22"/>
        </w:rPr>
        <w:t>The two-hour calendar block is the binding constraint: 105-minute core + 15-minute Q&amp;A = 120 minutes.</w:t>
      </w:r>
    </w:p>
    <w:p>
      <w:pPr>
        <w:pStyle w:val="ListBullet"/>
        <w:spacing w:after="60"/>
      </w:pPr>
      <w:r>
        <w:rPr>
          <w:sz w:val="22"/>
        </w:rPr>
        <w:t>The protected eight-minute silent-writing block (band 88-96, slide 39) must never be reduced below eight minutes, under any time pressure.</w:t>
      </w:r>
    </w:p>
    <w:p>
      <w:pPr>
        <w:pStyle w:val="ListBullet"/>
        <w:spacing w:after="60"/>
      </w:pPr>
      <w:r>
        <w:rPr>
          <w:sz w:val="22"/>
        </w:rPr>
        <w:t>Part B (band 31-33) releases only after every first placement and confidence number in the room is complete.</w:t>
      </w:r>
    </w:p>
    <w:p>
      <w:pPr>
        <w:pStyle w:val="ListBullet"/>
        <w:spacing w:after="60"/>
      </w:pPr>
      <w:r>
        <w:rPr>
          <w:sz w:val="22"/>
        </w:rPr>
        <w:t>The full instrument is administered live on both passes.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v5.1 — TIMING MAP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