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b/>
          <w:i w:val="0"/>
          <w:color w:val="0F2346"/>
          <w:sz w:val="44"/>
        </w:rPr>
        <w:t>Should I Make an Internal Move? 3 Questions to Decide</w:t>
      </w:r>
    </w:p>
    <w:p>
      <w:pPr>
        <w:spacing w:before="0" w:after="120" w:line="264" w:lineRule="auto"/>
      </w:pPr>
      <w:r>
        <w:rPr>
          <w:b w:val="0"/>
          <w:i w:val="0"/>
          <w:color w:val="5A6B82"/>
          <w:sz w:val="24"/>
        </w:rPr>
        <w:t>Video 5  ·  Teleprompter script with slide markers</w:t>
      </w:r>
    </w:p>
    <w:p>
      <w:pPr>
        <w:spacing w:before="0" w:after="400" w:line="288" w:lineRule="auto"/>
      </w:pPr>
      <w:r>
        <w:rPr>
          <w:b w:val="0"/>
          <w:i/>
          <w:color w:val="5A6B82"/>
          <w:sz w:val="22"/>
        </w:rPr>
        <w:t>Spoken script is the large text. Everything in a tinted band is a production direction and is not spoken.</w:t>
      </w:r>
    </w:p>
    <w:p>
      <w:pPr>
        <w:spacing w:before="0" w:after="360" w:line="288" w:lineRule="auto"/>
        <w:shd w:val="clear" w:fill="F3F0E8"/>
      </w:pPr>
      <w:r>
        <w:rPr>
          <w:b w:val="0"/>
          <w:i/>
          <w:color w:val="5A6B82"/>
          <w:sz w:val="21"/>
        </w:rPr>
        <w:t>Target length: approximately 11½-12 minutes at a relaxed, deliberate pace. Stage directions are for production and should not be spoken.</w:t>
      </w:r>
    </w:p>
    <w:p>
      <w:pPr>
        <w:spacing w:before="400" w:after="240" w:line="264" w:lineRule="auto"/>
        <w:shd w:val="clear" w:fill="F3F0E8"/>
      </w:pPr>
      <w:r>
        <w:rPr>
          <w:b/>
          <w:i w:val="0"/>
          <w:caps/>
          <w:color w:val="8A6D1E"/>
          <w:sz w:val="21"/>
        </w:rPr>
        <w:t>0:00-0:25 | HOOK - FULL-SCREEN TEMIDAYO</w:t>
      </w:r>
    </w:p>
    <w:p>
      <w:pPr>
        <w:spacing w:before="0" w:after="280" w:line="372" w:lineRule="auto"/>
      </w:pPr>
      <w:r>
        <w:rPr>
          <w:b w:val="0"/>
          <w:i w:val="0"/>
          <w:color w:val="1A1A1A"/>
          <w:sz w:val="27"/>
        </w:rPr>
        <w:t>You may not need a different employer to become more marketable. You may need access to different work inside the organization you already know. But an internal move is only growth if it changes what you are learning, deciding or being trusted to carry. In this video, I will give you three questions to test that.</w:t>
      </w:r>
    </w:p>
    <w:p>
      <w:pPr>
        <w:spacing w:before="400" w:after="240" w:line="264" w:lineRule="auto"/>
        <w:shd w:val="clear" w:fill="F3F0E8"/>
      </w:pPr>
      <w:r>
        <w:rPr>
          <w:b/>
          <w:i w:val="0"/>
          <w:caps/>
          <w:color w:val="8A6D1E"/>
          <w:sz w:val="21"/>
        </w:rPr>
        <w:t>0:25-0:55 | VIEWER PAYOFF</w:t>
      </w:r>
    </w:p>
    <w:p>
      <w:pPr>
        <w:spacing w:before="280" w:after="280" w:line="264" w:lineRule="auto"/>
        <w:shd w:val="clear" w:fill="E8EDF4"/>
        <w:pBdr>
          <w:left w:val="single" w:sz="18" w:space="8" w:color="0F2346"/>
        </w:pBdr>
      </w:pPr>
      <w:r>
        <w:rPr>
          <w:b/>
          <w:i w:val="0"/>
          <w:color w:val="0F2346"/>
          <w:sz w:val="22"/>
        </w:rPr>
        <w:t>SLIDE 1  —  Core distinction   (2 reveal states)</w:t>
      </w:r>
    </w:p>
    <w:p>
      <w:pPr>
        <w:spacing w:before="0" w:after="280" w:line="372" w:lineRule="auto"/>
      </w:pPr>
      <w:r>
        <w:rPr>
          <w:b w:val="0"/>
          <w:i w:val="0"/>
          <w:color w:val="1A1A1A"/>
          <w:sz w:val="27"/>
        </w:rPr>
        <w:t>By the end, you should be able to distinguish a move that genuinely expands your career from one that gives you a new title, a new manager or simply more work.</w:t>
      </w:r>
    </w:p>
    <w:p>
      <w:pPr>
        <w:spacing w:before="280" w:after="280" w:line="264" w:lineRule="auto"/>
        <w:shd w:val="clear" w:fill="E8EDF4"/>
        <w:pBdr>
          <w:left w:val="single" w:sz="18" w:space="8" w:color="0F2346"/>
        </w:pBdr>
      </w:pPr>
      <w:r>
        <w:rPr>
          <w:b/>
          <w:i w:val="0"/>
          <w:color w:val="0F2346"/>
          <w:sz w:val="22"/>
        </w:rPr>
        <w:t>SLIDE 2  —  The three questions   (3 reveal states)</w:t>
      </w:r>
    </w:p>
    <w:p>
      <w:pPr>
        <w:spacing w:before="0" w:after="280" w:line="372" w:lineRule="auto"/>
      </w:pPr>
      <w:r>
        <w:rPr>
          <w:b w:val="0"/>
          <w:i w:val="0"/>
          <w:color w:val="1A1A1A"/>
          <w:sz w:val="27"/>
        </w:rPr>
        <w:t>The three questions are: Will the work change? Will your judgment expand? And will the move produce evidence you can carry somewhere else?</w:t>
      </w:r>
    </w:p>
    <w:p>
      <w:pPr>
        <w:spacing w:before="400" w:after="240" w:line="264" w:lineRule="auto"/>
        <w:shd w:val="clear" w:fill="F3F0E8"/>
      </w:pPr>
      <w:r>
        <w:rPr>
          <w:b/>
          <w:i w:val="0"/>
          <w:caps/>
          <w:color w:val="8A6D1E"/>
          <w:sz w:val="21"/>
        </w:rPr>
        <w:t>0:55-1:35 | BRIEF INTRODUCTION + RECOGNITION</w:t>
      </w:r>
    </w:p>
    <w:p>
      <w:pPr>
        <w:spacing w:before="0" w:after="280" w:line="372" w:lineRule="auto"/>
      </w:pPr>
      <w:r>
        <w:rPr>
          <w:b w:val="0"/>
          <w:i w:val="0"/>
          <w:color w:val="1A1A1A"/>
          <w:sz w:val="27"/>
        </w:rPr>
        <w:t>I am Temidayo Afonja. I help experienced professionals understand what they can carry across roles, functions, employers and industries so they can make career pivots and internal moves without starting from zero.</w:t>
      </w:r>
    </w:p>
    <w:p>
      <w:pPr>
        <w:spacing w:before="0" w:after="280" w:line="372" w:lineRule="auto"/>
      </w:pPr>
      <w:r>
        <w:rPr>
          <w:b w:val="0"/>
          <w:i w:val="0"/>
          <w:color w:val="1A1A1A"/>
          <w:sz w:val="27"/>
        </w:rPr>
        <w:t>When people feel stalled, leaving can seem like the only decisive action. Sometimes it is. But sometimes the organization already contains a different problem, function or level of responsibility that could change what your work is building in you.</w:t>
      </w:r>
    </w:p>
    <w:p>
      <w:pPr>
        <w:spacing w:before="0" w:after="280" w:line="372" w:lineRule="auto"/>
      </w:pPr>
      <w:r>
        <w:rPr>
          <w:b w:val="0"/>
          <w:i w:val="0"/>
          <w:color w:val="1A1A1A"/>
          <w:sz w:val="27"/>
        </w:rPr>
        <w:t>The mistake is to treat every internal opportunity as growth simply because it is movement.</w:t>
      </w:r>
    </w:p>
    <w:p>
      <w:pPr>
        <w:spacing w:before="400" w:after="240" w:line="264" w:lineRule="auto"/>
        <w:shd w:val="clear" w:fill="F3F0E8"/>
      </w:pPr>
      <w:r>
        <w:rPr>
          <w:b/>
          <w:i w:val="0"/>
          <w:caps/>
          <w:color w:val="8A6D1E"/>
          <w:sz w:val="21"/>
        </w:rPr>
        <w:t>1:35-2:35 | EARLY PROOF + DEFINITION</w:t>
      </w:r>
    </w:p>
    <w:p>
      <w:pPr>
        <w:spacing w:before="0" w:after="280" w:line="372" w:lineRule="auto"/>
      </w:pPr>
      <w:r>
        <w:rPr>
          <w:b w:val="0"/>
          <w:i w:val="0"/>
          <w:color w:val="1A1A1A"/>
          <w:sz w:val="27"/>
        </w:rPr>
        <w:t>In one chapter of my own career, my scope expanded after roughly six months. The important part was not that more items had appeared on my list. People were trusting me with work beyond the original box.</w:t>
      </w:r>
    </w:p>
    <w:p>
      <w:pPr>
        <w:spacing w:before="0" w:after="280" w:line="372" w:lineRule="auto"/>
      </w:pPr>
      <w:r>
        <w:rPr>
          <w:b w:val="0"/>
          <w:i w:val="0"/>
          <w:color w:val="1A1A1A"/>
          <w:sz w:val="27"/>
        </w:rPr>
        <w:t>That experience gave me a more useful way to think about internal mobility. A real internal move is not defined only by a transfer letter. It can be a different role, team, function, assignment or scope. What matters is whether the work changes your formation.</w:t>
      </w:r>
    </w:p>
    <w:p>
      <w:pPr>
        <w:spacing w:before="0" w:after="280" w:line="372" w:lineRule="auto"/>
      </w:pPr>
      <w:r>
        <w:rPr>
          <w:b w:val="0"/>
          <w:i w:val="0"/>
          <w:color w:val="1A1A1A"/>
          <w:sz w:val="27"/>
        </w:rPr>
        <w:t>There is also a practical advantage to moving internally. You do not begin with zero context. You may already understand the systems, language, relationships and history. If the move is well designed, that context becomes leverage. You can use what you already know to enter work you have not yet done.</w:t>
      </w:r>
    </w:p>
    <w:p>
      <w:pPr>
        <w:spacing w:before="0" w:after="280" w:line="372" w:lineRule="auto"/>
      </w:pPr>
      <w:r>
        <w:rPr>
          <w:b w:val="0"/>
          <w:i w:val="0"/>
          <w:color w:val="1A1A1A"/>
          <w:sz w:val="27"/>
        </w:rPr>
        <w:t>But familiarity can also hide a weak move. So let us test it.</w:t>
      </w:r>
    </w:p>
    <w:p>
      <w:pPr>
        <w:spacing w:before="400" w:after="240" w:line="264" w:lineRule="auto"/>
        <w:shd w:val="clear" w:fill="F3F0E8"/>
      </w:pPr>
      <w:r>
        <w:rPr>
          <w:b/>
          <w:i w:val="0"/>
          <w:caps/>
          <w:color w:val="8A6D1E"/>
          <w:sz w:val="21"/>
        </w:rPr>
        <w:t>2:35-4:40 | QUESTION 1 - WILL THE WORK CHANGE?</w:t>
      </w:r>
    </w:p>
    <w:p>
      <w:pPr>
        <w:spacing w:before="280" w:after="280" w:line="264" w:lineRule="auto"/>
        <w:shd w:val="clear" w:fill="E8EDF4"/>
        <w:pBdr>
          <w:left w:val="single" w:sz="18" w:space="8" w:color="0F2346"/>
        </w:pBdr>
      </w:pPr>
      <w:r>
        <w:rPr>
          <w:b/>
          <w:i w:val="0"/>
          <w:color w:val="0F2346"/>
          <w:sz w:val="22"/>
        </w:rPr>
        <w:t>SLIDE 3  —  Question 1, will the work change</w:t>
      </w:r>
    </w:p>
    <w:p>
      <w:pPr>
        <w:spacing w:before="0" w:after="280" w:line="372" w:lineRule="auto"/>
      </w:pPr>
      <w:r>
        <w:rPr>
          <w:b w:val="0"/>
          <w:i w:val="0"/>
          <w:color w:val="1A1A1A"/>
          <w:sz w:val="27"/>
        </w:rPr>
        <w:t>The first question is: Will this move give me access to different work?</w:t>
      </w:r>
    </w:p>
    <w:p>
      <w:pPr>
        <w:spacing w:before="280" w:after="280" w:line="264" w:lineRule="auto"/>
        <w:shd w:val="clear" w:fill="E8EDF4"/>
        <w:pBdr>
          <w:left w:val="single" w:sz="18" w:space="8" w:color="0F2346"/>
        </w:pBdr>
      </w:pPr>
      <w:r>
        <w:rPr>
          <w:b/>
          <w:i w:val="0"/>
          <w:color w:val="0F2346"/>
          <w:sz w:val="22"/>
        </w:rPr>
        <w:t>SLIDE 4  —  Access test   (4 reveal states)</w:t>
      </w:r>
    </w:p>
    <w:p>
      <w:pPr>
        <w:spacing w:before="0" w:after="280" w:line="372" w:lineRule="auto"/>
      </w:pPr>
      <w:r>
        <w:rPr>
          <w:b w:val="0"/>
          <w:i w:val="0"/>
          <w:color w:val="1A1A1A"/>
          <w:sz w:val="27"/>
        </w:rPr>
        <w:t>Do not begin with the title. Ask what will actually be different on an ordinary Monday. What problems will you be close enough to understand? Which systems will you learn? Which stakeholders will you have to influence? What context will become visible that you cannot see from your current seat?</w:t>
      </w:r>
    </w:p>
    <w:p>
      <w:pPr>
        <w:spacing w:before="0" w:after="280" w:line="372" w:lineRule="auto"/>
      </w:pPr>
      <w:r>
        <w:rPr>
          <w:b w:val="0"/>
          <w:i w:val="0"/>
          <w:color w:val="1A1A1A"/>
          <w:sz w:val="27"/>
        </w:rPr>
        <w:t>A move from one team to another can be significant if it exposes you to a different customer, operating model or kind of problem. A move into another function can be significant if you have to learn how that function makes decisions. A stretch assignment can be significant if you are no longer observing the work but contributing to it.</w:t>
      </w:r>
    </w:p>
    <w:p>
      <w:pPr>
        <w:spacing w:before="0" w:after="280" w:line="372" w:lineRule="auto"/>
      </w:pPr>
      <w:r>
        <w:rPr>
          <w:b w:val="0"/>
          <w:i w:val="0"/>
          <w:color w:val="1A1A1A"/>
          <w:sz w:val="27"/>
        </w:rPr>
        <w:t>The opposite is also true. You can receive a new title and continue doing almost exactly the same work. You can move to a different team where the nouns change but the problems, tools and expectations stay the same. That may be useful for pay, manager fit or stability, but it is not automatically expanding your range.</w:t>
      </w:r>
    </w:p>
    <w:p>
      <w:pPr>
        <w:spacing w:before="0" w:after="280" w:line="372" w:lineRule="auto"/>
      </w:pPr>
      <w:r>
        <w:rPr>
          <w:b w:val="0"/>
          <w:i w:val="0"/>
          <w:color w:val="1A1A1A"/>
          <w:sz w:val="27"/>
        </w:rPr>
        <w:t>Ask the person hiring for the internal role: What are the three most important problems this person will own in the first six months? What will I have to learn that I do not already know? Which parts of the organization will I understand differently because I held this role?</w:t>
      </w:r>
    </w:p>
    <w:p>
      <w:pPr>
        <w:spacing w:before="0" w:after="280" w:line="372" w:lineRule="auto"/>
      </w:pPr>
      <w:r>
        <w:rPr>
          <w:b w:val="0"/>
          <w:i w:val="0"/>
          <w:color w:val="1A1A1A"/>
          <w:sz w:val="27"/>
        </w:rPr>
        <w:t>Listen for concrete work, not encouraging adjectives. “Strategic,” “visible” and “high impact” sound attractive, but they do not tell you what you will become able to do.</w:t>
      </w:r>
    </w:p>
    <w:p>
      <w:pPr>
        <w:spacing w:before="0" w:after="280" w:line="372" w:lineRule="auto"/>
      </w:pPr>
      <w:r>
        <w:rPr>
          <w:b w:val="0"/>
          <w:i w:val="0"/>
          <w:color w:val="1A1A1A"/>
          <w:sz w:val="27"/>
        </w:rPr>
        <w:t>If you cannot name the new problems, systems or stakeholders, the first answer may be no.</w:t>
      </w:r>
    </w:p>
    <w:p>
      <w:pPr>
        <w:spacing w:before="400" w:after="240" w:line="264" w:lineRule="auto"/>
        <w:shd w:val="clear" w:fill="F3F0E8"/>
      </w:pPr>
      <w:r>
        <w:rPr>
          <w:b/>
          <w:i w:val="0"/>
          <w:caps/>
          <w:color w:val="8A6D1E"/>
          <w:sz w:val="21"/>
        </w:rPr>
        <w:t>4:40-6:45 | QUESTION 2 - WILL YOUR JUDGMENT EXPAND?</w:t>
      </w:r>
    </w:p>
    <w:p>
      <w:pPr>
        <w:spacing w:before="280" w:after="280" w:line="264" w:lineRule="auto"/>
        <w:shd w:val="clear" w:fill="E8EDF4"/>
        <w:pBdr>
          <w:left w:val="single" w:sz="18" w:space="8" w:color="0F2346"/>
        </w:pBdr>
      </w:pPr>
      <w:r>
        <w:rPr>
          <w:b/>
          <w:i w:val="0"/>
          <w:color w:val="0F2346"/>
          <w:sz w:val="22"/>
        </w:rPr>
        <w:t>SLIDE 5  —  Question 2, will your judgment expand</w:t>
      </w:r>
    </w:p>
    <w:p>
      <w:pPr>
        <w:spacing w:before="0" w:after="280" w:line="372" w:lineRule="auto"/>
      </w:pPr>
      <w:r>
        <w:rPr>
          <w:b w:val="0"/>
          <w:i w:val="0"/>
          <w:color w:val="1A1A1A"/>
          <w:sz w:val="27"/>
        </w:rPr>
        <w:t>The second question is: Will the move change what I am trusted to decide or carry?</w:t>
      </w:r>
    </w:p>
    <w:p>
      <w:pPr>
        <w:spacing w:before="280" w:after="280" w:line="264" w:lineRule="auto"/>
        <w:shd w:val="clear" w:fill="E8EDF4"/>
        <w:pBdr>
          <w:left w:val="single" w:sz="18" w:space="8" w:color="0F2346"/>
        </w:pBdr>
      </w:pPr>
      <w:r>
        <w:rPr>
          <w:b/>
          <w:i w:val="0"/>
          <w:color w:val="0F2346"/>
          <w:sz w:val="22"/>
        </w:rPr>
        <w:t>SLIDE 6  —  Critical distinction, tasks and judgment   (2 reveal states)</w:t>
      </w:r>
    </w:p>
    <w:p>
      <w:pPr>
        <w:spacing w:before="0" w:after="280" w:line="372" w:lineRule="auto"/>
      </w:pPr>
      <w:r>
        <w:rPr>
          <w:b w:val="0"/>
          <w:i w:val="0"/>
          <w:color w:val="1A1A1A"/>
          <w:sz w:val="27"/>
        </w:rPr>
        <w:t>This is where more responsibility can be misleading. An organization may give you more volume because you are dependable. It may ask you to coordinate more people, fix more mistakes or absorb work that no longer has an owner. That can increase effort without increasing judgment.</w:t>
      </w:r>
    </w:p>
    <w:p>
      <w:pPr>
        <w:spacing w:before="0" w:after="280" w:line="372" w:lineRule="auto"/>
      </w:pPr>
      <w:r>
        <w:rPr>
          <w:b w:val="0"/>
          <w:i w:val="0"/>
          <w:color w:val="1A1A1A"/>
          <w:sz w:val="27"/>
        </w:rPr>
        <w:t>Judgment expands when the work asks you to interpret incomplete information, weigh tradeoffs, recommend a direction, influence people with different incentives or own the consequence of a decision.</w:t>
      </w:r>
    </w:p>
    <w:p>
      <w:pPr>
        <w:spacing w:before="0" w:after="280" w:line="372" w:lineRule="auto"/>
      </w:pPr>
      <w:r>
        <w:rPr>
          <w:b w:val="0"/>
          <w:i w:val="0"/>
          <w:color w:val="1A1A1A"/>
          <w:sz w:val="27"/>
        </w:rPr>
        <w:t>So ask: What will I be expected to notice that I am not expected to notice now? Which decisions will I make, shape or defend? What outcome will still be mine when the instructions are incomplete?</w:t>
      </w:r>
    </w:p>
    <w:p>
      <w:pPr>
        <w:spacing w:before="0" w:after="280" w:line="372" w:lineRule="auto"/>
      </w:pPr>
      <w:r>
        <w:rPr>
          <w:b w:val="0"/>
          <w:i w:val="0"/>
          <w:color w:val="1A1A1A"/>
          <w:sz w:val="27"/>
        </w:rPr>
        <w:t>For example, preparing a report is a task. Deciding which pattern in the report needs attention, explaining the risk and recommending what the organization should do next requires judgment. Scheduling a cross-functional meeting is a task. Creating enough shared understanding for three functions to make a decision is different work.</w:t>
      </w:r>
    </w:p>
    <w:p>
      <w:pPr>
        <w:spacing w:before="0" w:after="280" w:line="372" w:lineRule="auto"/>
      </w:pPr>
      <w:r>
        <w:rPr>
          <w:b w:val="0"/>
          <w:i w:val="0"/>
          <w:color w:val="1A1A1A"/>
          <w:sz w:val="27"/>
        </w:rPr>
        <w:t>Neither example makes the operational task unimportant. The distinction is what the work is forming. Repetition can build speed and reliability. Judgment builds the ability to act when the next situation is not identical to the last one.</w:t>
      </w:r>
    </w:p>
    <w:p>
      <w:pPr>
        <w:spacing w:before="0" w:after="280" w:line="372" w:lineRule="auto"/>
      </w:pPr>
      <w:r>
        <w:rPr>
          <w:b w:val="0"/>
          <w:i w:val="0"/>
          <w:color w:val="1A1A1A"/>
          <w:sz w:val="27"/>
        </w:rPr>
        <w:t>You should also clarify authority. If you will be accountable for an outcome but unable to influence the decisions that produce it, the role may be offering exposure without real ownership.</w:t>
      </w:r>
    </w:p>
    <w:p>
      <w:pPr>
        <w:spacing w:before="0" w:after="280" w:line="372" w:lineRule="auto"/>
      </w:pPr>
      <w:r>
        <w:rPr>
          <w:b w:val="0"/>
          <w:i w:val="0"/>
          <w:color w:val="1A1A1A"/>
          <w:sz w:val="27"/>
        </w:rPr>
        <w:t>Ask the internal hiring manager: Which decisions belong to this role? Where will I make a recommendation rather than only provide information? How will you know that I am ready for broader judgment?</w:t>
      </w:r>
    </w:p>
    <w:p>
      <w:pPr>
        <w:spacing w:before="0" w:after="280" w:line="372" w:lineRule="auto"/>
      </w:pPr>
      <w:r>
        <w:rPr>
          <w:b w:val="0"/>
          <w:i w:val="0"/>
          <w:color w:val="1A1A1A"/>
          <w:sz w:val="27"/>
        </w:rPr>
        <w:t>If the answer is simply “you will have more to manage,” keep investigating.</w:t>
      </w:r>
    </w:p>
    <w:p>
      <w:pPr>
        <w:spacing w:before="400" w:after="240" w:line="264" w:lineRule="auto"/>
        <w:shd w:val="clear" w:fill="F3F0E8"/>
      </w:pPr>
      <w:r>
        <w:rPr>
          <w:b/>
          <w:i w:val="0"/>
          <w:caps/>
          <w:color w:val="8A6D1E"/>
          <w:sz w:val="21"/>
        </w:rPr>
        <w:t>6:45-8:50 | QUESTION 3 - WILL THE EVIDENCE TRAVEL?</w:t>
      </w:r>
    </w:p>
    <w:p>
      <w:pPr>
        <w:spacing w:before="280" w:after="280" w:line="264" w:lineRule="auto"/>
        <w:shd w:val="clear" w:fill="E8EDF4"/>
        <w:pBdr>
          <w:left w:val="single" w:sz="18" w:space="8" w:color="0F2346"/>
        </w:pBdr>
      </w:pPr>
      <w:r>
        <w:rPr>
          <w:b/>
          <w:i w:val="0"/>
          <w:color w:val="0F2346"/>
          <w:sz w:val="22"/>
        </w:rPr>
        <w:t>SLIDE 7  —  Question 3, will the evidence travel</w:t>
      </w:r>
    </w:p>
    <w:p>
      <w:pPr>
        <w:spacing w:before="0" w:after="280" w:line="372" w:lineRule="auto"/>
      </w:pPr>
      <w:r>
        <w:rPr>
          <w:b w:val="0"/>
          <w:i w:val="0"/>
          <w:color w:val="1A1A1A"/>
          <w:sz w:val="27"/>
        </w:rPr>
        <w:t>The third question is: Will this move produce evidence that travels with me?</w:t>
      </w:r>
    </w:p>
    <w:p>
      <w:pPr>
        <w:spacing w:before="0" w:after="280" w:line="372" w:lineRule="auto"/>
      </w:pPr>
      <w:r>
        <w:rPr>
          <w:b w:val="0"/>
          <w:i w:val="0"/>
          <w:color w:val="1A1A1A"/>
          <w:sz w:val="27"/>
        </w:rPr>
        <w:t>Internal credibility can become very powerful inside one company and almost invisible outside it. People may know that you are the person who can get something done, but your résumé or interview answer may still struggle to explain what changed because of your work.</w:t>
      </w:r>
    </w:p>
    <w:p>
      <w:pPr>
        <w:spacing w:before="0" w:after="280" w:line="372" w:lineRule="auto"/>
      </w:pPr>
      <w:r>
        <w:rPr>
          <w:b w:val="0"/>
          <w:i w:val="0"/>
          <w:color w:val="1A1A1A"/>
          <w:sz w:val="27"/>
        </w:rPr>
        <w:t>Portable evidence does not mean taking confidential material. It means being able to describe the problem, your role, the judgment you used and the permitted result in language that makes sense beyond the organization.</w:t>
      </w:r>
    </w:p>
    <w:p>
      <w:pPr>
        <w:spacing w:before="0" w:after="280" w:line="372" w:lineRule="auto"/>
      </w:pPr>
      <w:r>
        <w:rPr>
          <w:b w:val="0"/>
          <w:i w:val="0"/>
          <w:color w:val="1A1A1A"/>
          <w:sz w:val="27"/>
        </w:rPr>
        <w:t>Ask what success will look like after six or twelve months. Will there be a result you can explain? Will you have made a recommendation, built a process, improved a decision, influenced a cross-functional outcome or become credible in a new domain? Will the evidence show more than activity?</w:t>
      </w:r>
    </w:p>
    <w:p>
      <w:pPr>
        <w:spacing w:before="280" w:after="280" w:line="264" w:lineRule="auto"/>
        <w:shd w:val="clear" w:fill="E8EDF4"/>
        <w:pBdr>
          <w:left w:val="single" w:sz="18" w:space="8" w:color="0F2346"/>
        </w:pBdr>
      </w:pPr>
      <w:r>
        <w:rPr>
          <w:b/>
          <w:i w:val="0"/>
          <w:color w:val="0F2346"/>
          <w:sz w:val="22"/>
        </w:rPr>
        <w:t>SLIDE 8  —  Portable evidence   (3 reveal states)</w:t>
      </w:r>
    </w:p>
    <w:p>
      <w:pPr>
        <w:spacing w:before="0" w:after="280" w:line="372" w:lineRule="auto"/>
      </w:pPr>
      <w:r>
        <w:rPr>
          <w:b w:val="0"/>
          <w:i w:val="0"/>
          <w:color w:val="1A1A1A"/>
          <w:sz w:val="27"/>
        </w:rPr>
        <w:t>Three forms of evidence are especially useful. The first is result: what improved, changed, accelerated, stabilized or became possible. The second is judgment: what you noticed, weighed or decided. The third is range: which new context, stakeholder group, system or problem you can now handle.</w:t>
      </w:r>
    </w:p>
    <w:p>
      <w:pPr>
        <w:spacing w:before="0" w:after="280" w:line="372" w:lineRule="auto"/>
      </w:pPr>
      <w:r>
        <w:rPr>
          <w:b w:val="0"/>
          <w:i w:val="0"/>
          <w:color w:val="1A1A1A"/>
          <w:sz w:val="27"/>
        </w:rPr>
        <w:t>A move becomes more portable when it creates all three. You can say, “I entered a new context, I was trusted to make this kind of judgment, and here is the result.”</w:t>
      </w:r>
    </w:p>
    <w:p>
      <w:pPr>
        <w:spacing w:before="0" w:after="280" w:line="372" w:lineRule="auto"/>
      </w:pPr>
      <w:r>
        <w:rPr>
          <w:b w:val="0"/>
          <w:i w:val="0"/>
          <w:color w:val="1A1A1A"/>
          <w:sz w:val="27"/>
        </w:rPr>
        <w:t>Before you accept the opportunity, ask: How is success measured? What would a strong first year allow me to point to? Which outcomes would I own rather than merely support?</w:t>
      </w:r>
    </w:p>
    <w:p>
      <w:pPr>
        <w:spacing w:before="0" w:after="280" w:line="372" w:lineRule="auto"/>
      </w:pPr>
      <w:r>
        <w:rPr>
          <w:b w:val="0"/>
          <w:i w:val="0"/>
          <w:color w:val="1A1A1A"/>
          <w:sz w:val="27"/>
        </w:rPr>
        <w:t>If the role is described entirely through internal acronyms, relationships and visibility, translate it before you decide. If you cannot explain the opportunity without company language, you may not yet understand what evidence it will create.</w:t>
      </w:r>
    </w:p>
    <w:p>
      <w:pPr>
        <w:spacing w:before="400" w:after="240" w:line="264" w:lineRule="auto"/>
        <w:shd w:val="clear" w:fill="F3F0E8"/>
      </w:pPr>
      <w:r>
        <w:rPr>
          <w:b/>
          <w:i w:val="0"/>
          <w:caps/>
          <w:color w:val="8A6D1E"/>
          <w:sz w:val="21"/>
        </w:rPr>
        <w:t>8:50-10:20 | READ THE THREE ANSWERS</w:t>
      </w:r>
    </w:p>
    <w:p>
      <w:pPr>
        <w:spacing w:before="280" w:after="280" w:line="264" w:lineRule="auto"/>
        <w:shd w:val="clear" w:fill="E8EDF4"/>
        <w:pBdr>
          <w:left w:val="single" w:sz="18" w:space="8" w:color="0F2346"/>
        </w:pBdr>
      </w:pPr>
      <w:r>
        <w:rPr>
          <w:b/>
          <w:i w:val="0"/>
          <w:color w:val="0F2346"/>
          <w:sz w:val="22"/>
        </w:rPr>
        <w:t>SLIDE 9  —  Decision read   (3 reveal states)</w:t>
      </w:r>
    </w:p>
    <w:p>
      <w:pPr>
        <w:spacing w:before="0" w:after="280" w:line="372" w:lineRule="auto"/>
      </w:pPr>
      <w:r>
        <w:rPr>
          <w:b w:val="0"/>
          <w:i w:val="0"/>
          <w:color w:val="1A1A1A"/>
          <w:sz w:val="27"/>
        </w:rPr>
        <w:t>Now put the three answers together.</w:t>
      </w:r>
    </w:p>
    <w:p>
      <w:pPr>
        <w:spacing w:before="0" w:after="280" w:line="372" w:lineRule="auto"/>
      </w:pPr>
      <w:r>
        <w:rPr>
          <w:b w:val="0"/>
          <w:i w:val="0"/>
          <w:color w:val="1A1A1A"/>
          <w:sz w:val="27"/>
        </w:rPr>
        <w:t>If all three are yes - different work, expanded judgment and portable evidence - the opportunity may be a strong growth move. You still need to validate the manager, compensation, workload and organizational reality, but the formation case is clear.</w:t>
      </w:r>
    </w:p>
    <w:p>
      <w:pPr>
        <w:spacing w:before="0" w:after="280" w:line="372" w:lineRule="auto"/>
      </w:pPr>
      <w:r>
        <w:rPr>
          <w:b w:val="0"/>
          <w:i w:val="0"/>
          <w:color w:val="1A1A1A"/>
          <w:sz w:val="27"/>
        </w:rPr>
        <w:t>If two are yes, do not reject the role immediately. Identify the missing dimension and investigate whether it can be designed into the move. Perhaps the work is new and the evidence will be visible, but the decision authority is vague. That becomes a negotiation question. What would I own? Which recommendations would be mine? What would have to be true for the scope to expand?</w:t>
      </w:r>
    </w:p>
    <w:p>
      <w:pPr>
        <w:spacing w:before="0" w:after="280" w:line="372" w:lineRule="auto"/>
      </w:pPr>
      <w:r>
        <w:rPr>
          <w:b w:val="0"/>
          <w:i w:val="0"/>
          <w:color w:val="1A1A1A"/>
          <w:sz w:val="27"/>
        </w:rPr>
        <w:t>If zero or one is yes, the opportunity may be movement without much formation. It may still be the right choice for pay, flexibility, stability or a better manager. Just do not confuse those benefits with becoming more marketable.</w:t>
      </w:r>
    </w:p>
    <w:p>
      <w:pPr>
        <w:spacing w:before="0" w:after="280" w:line="372" w:lineRule="auto"/>
      </w:pPr>
      <w:r>
        <w:rPr>
          <w:b w:val="0"/>
          <w:i w:val="0"/>
          <w:color w:val="1A1A1A"/>
          <w:sz w:val="27"/>
        </w:rPr>
        <w:t>You can also compare an internal and external option using the same questions. The external role does not win merely because it is outside. The internal role does not win merely because it is safer. Which option gives you more meaningful access to different work, stronger judgment and clearer evidence at a cost you can responsibly carry?</w:t>
      </w:r>
    </w:p>
    <w:p>
      <w:pPr>
        <w:spacing w:before="0" w:after="280" w:line="372" w:lineRule="auto"/>
      </w:pPr>
      <w:r>
        <w:rPr>
          <w:b w:val="0"/>
          <w:i w:val="0"/>
          <w:color w:val="1A1A1A"/>
          <w:sz w:val="27"/>
        </w:rPr>
        <w:t>That is a more useful comparison than “stay or go.”</w:t>
      </w:r>
    </w:p>
    <w:p>
      <w:pPr>
        <w:spacing w:before="400" w:after="240" w:line="264" w:lineRule="auto"/>
        <w:shd w:val="clear" w:fill="F3F0E8"/>
      </w:pPr>
      <w:r>
        <w:rPr>
          <w:b/>
          <w:i w:val="0"/>
          <w:caps/>
          <w:color w:val="8A6D1E"/>
          <w:sz w:val="21"/>
        </w:rPr>
        <w:t>10:20-11:10 | WHEN LEAVING MAY STILL BE BETTER</w:t>
      </w:r>
    </w:p>
    <w:p>
      <w:pPr>
        <w:spacing w:before="0" w:after="280" w:line="372" w:lineRule="auto"/>
      </w:pPr>
      <w:r>
        <w:rPr>
          <w:b w:val="0"/>
          <w:i w:val="0"/>
          <w:color w:val="1A1A1A"/>
          <w:sz w:val="27"/>
        </w:rPr>
        <w:t>There are times when an internal move will not solve the real problem.</w:t>
      </w:r>
    </w:p>
    <w:p>
      <w:pPr>
        <w:spacing w:before="0" w:after="280" w:line="372" w:lineRule="auto"/>
      </w:pPr>
      <w:r>
        <w:rPr>
          <w:b w:val="0"/>
          <w:i w:val="0"/>
          <w:color w:val="1A1A1A"/>
          <w:sz w:val="27"/>
        </w:rPr>
        <w:t>The organization may not contain the work you need. It may keep seeing you only through the role you already perform. The new position may offer accountability without authority, or the culture may reward your reliability by giving you more work without recognition, support or development.</w:t>
      </w:r>
    </w:p>
    <w:p>
      <w:pPr>
        <w:spacing w:before="0" w:after="280" w:line="372" w:lineRule="auto"/>
      </w:pPr>
      <w:r>
        <w:rPr>
          <w:b w:val="0"/>
          <w:i w:val="0"/>
          <w:color w:val="1A1A1A"/>
          <w:sz w:val="27"/>
        </w:rPr>
        <w:t>And if the environment is harming your health or safety, or involves harassment or discrimination, you do not need to optimize an internal-mobility strategy before protecting yourself and getting appropriate support.</w:t>
      </w:r>
    </w:p>
    <w:p>
      <w:pPr>
        <w:spacing w:before="0" w:after="280" w:line="372" w:lineRule="auto"/>
      </w:pPr>
      <w:r>
        <w:rPr>
          <w:b w:val="0"/>
          <w:i w:val="0"/>
          <w:color w:val="1A1A1A"/>
          <w:sz w:val="27"/>
        </w:rPr>
        <w:t>Career decisions also sit inside real lives. Compensation, caregiving, benefits, location, immigration status, energy and timing matter. The three questions help you read the work. They do not erase the rest of the decision.</w:t>
      </w:r>
    </w:p>
    <w:p>
      <w:pPr>
        <w:spacing w:before="400" w:after="240" w:line="264" w:lineRule="auto"/>
        <w:shd w:val="clear" w:fill="F3F0E8"/>
      </w:pPr>
      <w:r>
        <w:rPr>
          <w:b/>
          <w:i w:val="0"/>
          <w:caps/>
          <w:color w:val="8A6D1E"/>
          <w:sz w:val="21"/>
        </w:rPr>
        <w:t>11:10-11:45 | ONE NEXT STEP + CTA</w:t>
      </w:r>
    </w:p>
    <w:p>
      <w:pPr>
        <w:spacing w:before="280" w:after="280" w:line="264" w:lineRule="auto"/>
        <w:shd w:val="clear" w:fill="E8EDF4"/>
        <w:pBdr>
          <w:left w:val="single" w:sz="18" w:space="8" w:color="0F2346"/>
        </w:pBdr>
      </w:pPr>
      <w:r>
        <w:rPr>
          <w:b/>
          <w:i w:val="0"/>
          <w:color w:val="0F2346"/>
          <w:sz w:val="22"/>
        </w:rPr>
        <w:t>SLIDE 10  —  Conversation prompts   (3 reveal states)</w:t>
      </w:r>
    </w:p>
    <w:p>
      <w:pPr>
        <w:spacing w:before="0" w:after="280" w:line="372" w:lineRule="auto"/>
      </w:pPr>
      <w:r>
        <w:rPr>
          <w:b w:val="0"/>
          <w:i w:val="0"/>
          <w:color w:val="1A1A1A"/>
          <w:sz w:val="27"/>
        </w:rPr>
        <w:t>Before your next internal conversation, write one sentence under each question: What different work will I enter? What judgment will I be trusted to carry? What evidence could I explain a year from now?</w:t>
      </w:r>
    </w:p>
    <w:p>
      <w:pPr>
        <w:spacing w:before="280" w:after="280" w:line="264" w:lineRule="auto"/>
        <w:shd w:val="clear" w:fill="E8EDF4"/>
        <w:pBdr>
          <w:left w:val="single" w:sz="18" w:space="8" w:color="0F2346"/>
        </w:pBdr>
      </w:pPr>
      <w:r>
        <w:rPr>
          <w:b/>
          <w:i w:val="0"/>
          <w:color w:val="0F2346"/>
          <w:sz w:val="22"/>
        </w:rPr>
        <w:t>SLIDE 11  —  Career Decision Evidence Check</w:t>
      </w:r>
    </w:p>
    <w:p>
      <w:pPr>
        <w:spacing w:before="0" w:after="280" w:line="372" w:lineRule="auto"/>
      </w:pPr>
      <w:r>
        <w:rPr>
          <w:b w:val="0"/>
          <w:i w:val="0"/>
          <w:color w:val="1A1A1A"/>
          <w:sz w:val="27"/>
        </w:rPr>
        <w:t>If you are actively deciding whether to stay, move internally or leave, the free Career Decision Evidence Check will help you organize the evidence behind that choice. The link is in the description.</w:t>
      </w:r>
    </w:p>
    <w:p>
      <w:pPr>
        <w:spacing w:before="400" w:after="240" w:line="264" w:lineRule="auto"/>
        <w:shd w:val="clear" w:fill="F3F0E8"/>
      </w:pPr>
      <w:r>
        <w:rPr>
          <w:b/>
          <w:i w:val="0"/>
          <w:caps/>
          <w:color w:val="8A6D1E"/>
          <w:sz w:val="21"/>
        </w:rPr>
        <w:t>11:45-12:00 | WATCH NEXT</w:t>
      </w:r>
    </w:p>
    <w:p>
      <w:pPr>
        <w:spacing w:before="280" w:after="280" w:line="264" w:lineRule="auto"/>
        <w:shd w:val="clear" w:fill="E8EDF4"/>
        <w:pBdr>
          <w:left w:val="single" w:sz="18" w:space="8" w:color="0F2346"/>
        </w:pBdr>
      </w:pPr>
      <w:r>
        <w:rPr>
          <w:b/>
          <w:i w:val="0"/>
          <w:color w:val="0F2346"/>
          <w:sz w:val="22"/>
        </w:rPr>
        <w:t>SLIDE 12  —  Watch next</w:t>
      </w:r>
    </w:p>
    <w:p>
      <w:pPr>
        <w:spacing w:before="0" w:after="280" w:line="372" w:lineRule="auto"/>
      </w:pPr>
      <w:r>
        <w:rPr>
          <w:b w:val="0"/>
          <w:i w:val="0"/>
          <w:color w:val="1A1A1A"/>
          <w:sz w:val="27"/>
        </w:rPr>
        <w:t>And before you call any opportunity growth, you need to know whether you are gaining capability or simply carrying more. That is what we will test in the next video: Are You Growing—or Just Being Given More Work?</w:t>
      </w:r>
    </w:p>
    <w:p>
      <w:pPr>
        <w:spacing w:before="0" w:after="280" w:line="372" w:lineRule="auto"/>
      </w:pPr>
      <w:r>
        <w:rPr>
          <w:b w:val="0"/>
          <w:i w:val="0"/>
          <w:color w:val="1A1A1A"/>
          <w:sz w:val="27"/>
        </w:rPr>
        <w:t>You may not need to leave. But you do need different work. I will see you in the next one.</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