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32"/>
        </w:rPr>
        <w:t>Paid Workshop v5.0 — Deck Timing Map</w:t>
      </w:r>
    </w:p>
    <w:p>
      <w:pPr>
        <w:spacing w:after="40" w:before="0"/>
      </w:pPr>
      <w:r>
        <w:rPr>
          <w:b w:val="0"/>
          <w:i/>
          <w:color w:val="555555"/>
          <w:sz w:val="22"/>
        </w:rPr>
        <w:t>Decide Whether to Stay or Leave Your Job | A Live Career Growth Assessment</w:t>
      </w:r>
    </w:p>
    <w:p>
      <w:pPr>
        <w:spacing w:after="200" w:before="0"/>
      </w:pPr>
      <w:r>
        <w:rPr>
          <w:b w:val="0"/>
          <w:i/>
          <w:color w:val="555555"/>
          <w:sz w:val="22"/>
        </w:rPr>
        <w:t>105-minute guided Capability Position Read + 15-minute Q&amp;A, inside a two-hour calendar block</w:t>
      </w:r>
    </w:p>
    <w:p>
      <w:pPr>
        <w:spacing w:before="80" w:after="80"/>
      </w:pPr>
      <w:r>
        <w:rPr>
          <w:color w:val="555555"/>
          <w:sz w:val="16"/>
        </w:rPr>
        <w:t>――――――――――――――――――――――――――――――――――――――――</w:t>
      </w:r>
    </w:p>
    <w:tbl>
      <w:tblPr>
        <w:tblStyle w:val="LightGrid-Accent1"/>
        <w:tblW w:type="auto" w:w="0"/>
        <w:tblLook w:firstColumn="1" w:firstRow="1" w:lastColumn="0" w:lastRow="0" w:noHBand="0" w:noVBand="1" w:val="04A0"/>
      </w:tblPr>
      <w:tblGrid>
        <w:gridCol w:w="3120"/>
        <w:gridCol w:w="3120"/>
        <w:gridCol w:w="3120"/>
      </w:tblGrid>
      <w:tr>
        <w:tc>
          <w:tcPr>
            <w:tcW w:type="dxa" w:w="1296"/>
          </w:tcPr>
          <w:p>
            <w:r/>
            <w:r>
              <w:rPr>
                <w:b/>
                <w:sz w:val="19"/>
              </w:rPr>
              <w:t>Band</w:t>
            </w:r>
          </w:p>
        </w:tc>
        <w:tc>
          <w:tcPr>
            <w:tcW w:type="dxa" w:w="5184"/>
          </w:tcPr>
          <w:p>
            <w:r/>
            <w:r>
              <w:rPr>
                <w:b/>
                <w:sz w:val="19"/>
              </w:rPr>
              <w:t>Segment</w:t>
            </w:r>
          </w:p>
        </w:tc>
        <w:tc>
          <w:tcPr>
            <w:tcW w:type="dxa" w:w="1872"/>
          </w:tcPr>
          <w:p>
            <w:r/>
            <w:r>
              <w:rPr>
                <w:b/>
                <w:sz w:val="19"/>
              </w:rPr>
              <w:t>New slide(s)</w:t>
            </w:r>
          </w:p>
        </w:tc>
      </w:tr>
      <w:tr>
        <w:tc>
          <w:tcPr>
            <w:tcW w:type="dxa" w:w="1296"/>
          </w:tcPr>
          <w:p>
            <w:r/>
            <w:r>
              <w:rPr>
                <w:sz w:val="19"/>
              </w:rPr>
              <w:t>0-8</w:t>
            </w:r>
          </w:p>
        </w:tc>
        <w:tc>
          <w:tcPr>
            <w:tcW w:type="dxa" w:w="5184"/>
          </w:tcPr>
          <w:p>
            <w:r/>
            <w:r>
              <w:rPr>
                <w:sz w:val="19"/>
              </w:rPr>
              <w:t>Opening, boundary, story, vantage, and reframe</w:t>
            </w:r>
          </w:p>
        </w:tc>
        <w:tc>
          <w:tcPr>
            <w:tcW w:type="dxa" w:w="1872"/>
          </w:tcPr>
          <w:p>
            <w:r/>
            <w:r>
              <w:rPr>
                <w:sz w:val="19"/>
              </w:rPr>
              <w:t>1-8</w:t>
            </w:r>
          </w:p>
        </w:tc>
      </w:tr>
      <w:tr>
        <w:tc>
          <w:tcPr>
            <w:tcW w:type="dxa" w:w="1296"/>
          </w:tcPr>
          <w:p>
            <w:r/>
            <w:r>
              <w:rPr>
                <w:sz w:val="19"/>
              </w:rPr>
              <w:t>8-14</w:t>
            </w:r>
          </w:p>
        </w:tc>
        <w:tc>
          <w:tcPr>
            <w:tcW w:type="dxa" w:w="5184"/>
          </w:tcPr>
          <w:p>
            <w:r/>
            <w:r>
              <w:rPr>
                <w:sz w:val="19"/>
              </w:rPr>
              <w:t>Density, Optionality, and brief AI application</w:t>
            </w:r>
          </w:p>
        </w:tc>
        <w:tc>
          <w:tcPr>
            <w:tcW w:type="dxa" w:w="1872"/>
          </w:tcPr>
          <w:p>
            <w:r/>
            <w:r>
              <w:rPr>
                <w:sz w:val="19"/>
              </w:rPr>
              <w:t>9-11</w:t>
            </w:r>
          </w:p>
        </w:tc>
      </w:tr>
      <w:tr>
        <w:tc>
          <w:tcPr>
            <w:tcW w:type="dxa" w:w="1296"/>
          </w:tcPr>
          <w:p>
            <w:r/>
            <w:r>
              <w:rPr>
                <w:sz w:val="19"/>
              </w:rPr>
              <w:t>14-24</w:t>
            </w:r>
          </w:p>
        </w:tc>
        <w:tc>
          <w:tcPr>
            <w:tcW w:type="dxa" w:w="5184"/>
          </w:tcPr>
          <w:p>
            <w:r/>
            <w:r>
              <w:rPr>
                <w:sz w:val="19"/>
              </w:rPr>
              <w:t>Full initial read and totals</w:t>
            </w:r>
          </w:p>
        </w:tc>
        <w:tc>
          <w:tcPr>
            <w:tcW w:type="dxa" w:w="1872"/>
          </w:tcPr>
          <w:p>
            <w:r/>
            <w:r>
              <w:rPr>
                <w:sz w:val="19"/>
              </w:rPr>
              <w:t>12-17</w:t>
            </w:r>
          </w:p>
        </w:tc>
      </w:tr>
      <w:tr>
        <w:tc>
          <w:tcPr>
            <w:tcW w:type="dxa" w:w="1296"/>
          </w:tcPr>
          <w:p>
            <w:r/>
            <w:r>
              <w:rPr>
                <w:sz w:val="19"/>
              </w:rPr>
              <w:t>24-31</w:t>
            </w:r>
          </w:p>
        </w:tc>
        <w:tc>
          <w:tcPr>
            <w:tcW w:type="dxa" w:w="5184"/>
          </w:tcPr>
          <w:p>
            <w:r/>
            <w:r>
              <w:rPr>
                <w:sz w:val="19"/>
              </w:rPr>
              <w:t>Safety, matrix, first placement, and confidence</w:t>
            </w:r>
          </w:p>
        </w:tc>
        <w:tc>
          <w:tcPr>
            <w:tcW w:type="dxa" w:w="1872"/>
          </w:tcPr>
          <w:p>
            <w:r/>
            <w:r>
              <w:rPr>
                <w:sz w:val="19"/>
              </w:rPr>
              <w:t>18-20</w:t>
            </w:r>
          </w:p>
        </w:tc>
      </w:tr>
      <w:tr>
        <w:tc>
          <w:tcPr>
            <w:tcW w:type="dxa" w:w="1296"/>
          </w:tcPr>
          <w:p>
            <w:r/>
            <w:r>
              <w:rPr>
                <w:sz w:val="19"/>
              </w:rPr>
              <w:t>31-33</w:t>
            </w:r>
          </w:p>
        </w:tc>
        <w:tc>
          <w:tcPr>
            <w:tcW w:type="dxa" w:w="5184"/>
          </w:tcPr>
          <w:p>
            <w:r/>
            <w:r>
              <w:rPr>
                <w:sz w:val="19"/>
              </w:rPr>
              <w:t>Release Part B</w:t>
            </w:r>
          </w:p>
        </w:tc>
        <w:tc>
          <w:tcPr>
            <w:tcW w:type="dxa" w:w="1872"/>
          </w:tcPr>
          <w:p>
            <w:r/>
            <w:r>
              <w:rPr>
                <w:sz w:val="19"/>
              </w:rPr>
              <w:t>21</w:t>
            </w:r>
          </w:p>
        </w:tc>
      </w:tr>
      <w:tr>
        <w:tc>
          <w:tcPr>
            <w:tcW w:type="dxa" w:w="1296"/>
          </w:tcPr>
          <w:p>
            <w:r/>
            <w:r>
              <w:rPr>
                <w:sz w:val="19"/>
              </w:rPr>
              <w:t>33-48</w:t>
            </w:r>
          </w:p>
        </w:tc>
        <w:tc>
          <w:tcPr>
            <w:tcW w:type="dxa" w:w="5184"/>
          </w:tcPr>
          <w:p>
            <w:r/>
            <w:r>
              <w:rPr>
                <w:sz w:val="19"/>
              </w:rPr>
              <w:t>Evidence protocol and three misreadings</w:t>
            </w:r>
          </w:p>
        </w:tc>
        <w:tc>
          <w:tcPr>
            <w:tcW w:type="dxa" w:w="1872"/>
          </w:tcPr>
          <w:p>
            <w:r/>
            <w:r>
              <w:rPr>
                <w:sz w:val="19"/>
              </w:rPr>
              <w:t>22-28</w:t>
            </w:r>
          </w:p>
        </w:tc>
      </w:tr>
      <w:tr>
        <w:tc>
          <w:tcPr>
            <w:tcW w:type="dxa" w:w="1296"/>
          </w:tcPr>
          <w:p>
            <w:r/>
            <w:r>
              <w:rPr>
                <w:sz w:val="19"/>
              </w:rPr>
              <w:t>48-64</w:t>
            </w:r>
          </w:p>
        </w:tc>
        <w:tc>
          <w:tcPr>
            <w:tcW w:type="dxa" w:w="5184"/>
          </w:tcPr>
          <w:p>
            <w:r/>
            <w:r>
              <w:rPr>
                <w:sz w:val="19"/>
              </w:rPr>
              <w:t>Full evidence-backed reread</w:t>
            </w:r>
          </w:p>
        </w:tc>
        <w:tc>
          <w:tcPr>
            <w:tcW w:type="dxa" w:w="1872"/>
          </w:tcPr>
          <w:p>
            <w:r/>
            <w:r>
              <w:rPr>
                <w:sz w:val="19"/>
              </w:rPr>
              <w:t>29</w:t>
            </w:r>
          </w:p>
        </w:tc>
      </w:tr>
      <w:tr>
        <w:tc>
          <w:tcPr>
            <w:tcW w:type="dxa" w:w="1296"/>
          </w:tcPr>
          <w:p>
            <w:r/>
            <w:r>
              <w:rPr>
                <w:sz w:val="19"/>
              </w:rPr>
              <w:t>64-71</w:t>
            </w:r>
          </w:p>
        </w:tc>
        <w:tc>
          <w:tcPr>
            <w:tcW w:type="dxa" w:w="5184"/>
          </w:tcPr>
          <w:p>
            <w:r/>
            <w:r>
              <w:rPr>
                <w:sz w:val="19"/>
              </w:rPr>
              <w:t>Sensitivity check and corrected placement</w:t>
            </w:r>
          </w:p>
        </w:tc>
        <w:tc>
          <w:tcPr>
            <w:tcW w:type="dxa" w:w="1872"/>
          </w:tcPr>
          <w:p>
            <w:r/>
            <w:r>
              <w:rPr>
                <w:sz w:val="19"/>
              </w:rPr>
              <w:t>30-31</w:t>
            </w:r>
          </w:p>
        </w:tc>
      </w:tr>
      <w:tr>
        <w:tc>
          <w:tcPr>
            <w:tcW w:type="dxa" w:w="1296"/>
          </w:tcPr>
          <w:p>
            <w:r/>
            <w:r>
              <w:rPr>
                <w:sz w:val="19"/>
              </w:rPr>
              <w:t>71-77</w:t>
            </w:r>
          </w:p>
        </w:tc>
        <w:tc>
          <w:tcPr>
            <w:tcW w:type="dxa" w:w="5184"/>
          </w:tcPr>
          <w:p>
            <w:r/>
            <w:r>
              <w:rPr>
                <w:sz w:val="19"/>
              </w:rPr>
              <w:t>What moved and what calibration means</w:t>
            </w:r>
          </w:p>
        </w:tc>
        <w:tc>
          <w:tcPr>
            <w:tcW w:type="dxa" w:w="1872"/>
          </w:tcPr>
          <w:p>
            <w:r/>
            <w:r>
              <w:rPr>
                <w:sz w:val="19"/>
              </w:rPr>
              <w:t>32-33</w:t>
            </w:r>
          </w:p>
        </w:tc>
      </w:tr>
      <w:tr>
        <w:tc>
          <w:tcPr>
            <w:tcW w:type="dxa" w:w="1296"/>
          </w:tcPr>
          <w:p>
            <w:r/>
            <w:r>
              <w:rPr>
                <w:sz w:val="19"/>
              </w:rPr>
              <w:t>77-84</w:t>
            </w:r>
          </w:p>
        </w:tc>
        <w:tc>
          <w:tcPr>
            <w:tcW w:type="dxa" w:w="5184"/>
          </w:tcPr>
          <w:p>
            <w:r/>
            <w:r>
              <w:rPr>
                <w:sz w:val="19"/>
              </w:rPr>
              <w:t>State costs and personal cost reflection</w:t>
            </w:r>
          </w:p>
        </w:tc>
        <w:tc>
          <w:tcPr>
            <w:tcW w:type="dxa" w:w="1872"/>
          </w:tcPr>
          <w:p>
            <w:r/>
            <w:r>
              <w:rPr>
                <w:sz w:val="19"/>
              </w:rPr>
              <w:t>34-36</w:t>
            </w:r>
          </w:p>
        </w:tc>
      </w:tr>
      <w:tr>
        <w:tc>
          <w:tcPr>
            <w:tcW w:type="dxa" w:w="1296"/>
          </w:tcPr>
          <w:p>
            <w:r/>
            <w:r>
              <w:rPr>
                <w:sz w:val="19"/>
              </w:rPr>
              <w:t>84-88</w:t>
            </w:r>
          </w:p>
        </w:tc>
        <w:tc>
          <w:tcPr>
            <w:tcW w:type="dxa" w:w="5184"/>
          </w:tcPr>
          <w:p>
            <w:r/>
            <w:r>
              <w:rPr>
                <w:sz w:val="19"/>
              </w:rPr>
              <w:t>Move categories and decision setup</w:t>
            </w:r>
          </w:p>
        </w:tc>
        <w:tc>
          <w:tcPr>
            <w:tcW w:type="dxa" w:w="1872"/>
          </w:tcPr>
          <w:p>
            <w:r/>
            <w:r>
              <w:rPr>
                <w:sz w:val="19"/>
              </w:rPr>
              <w:t>37-38</w:t>
            </w:r>
          </w:p>
        </w:tc>
      </w:tr>
      <w:tr>
        <w:tc>
          <w:tcPr>
            <w:tcW w:type="dxa" w:w="1296"/>
          </w:tcPr>
          <w:p>
            <w:r/>
            <w:r>
              <w:rPr>
                <w:sz w:val="19"/>
              </w:rPr>
              <w:t>88-96</w:t>
            </w:r>
          </w:p>
        </w:tc>
        <w:tc>
          <w:tcPr>
            <w:tcW w:type="dxa" w:w="5184"/>
          </w:tcPr>
          <w:p>
            <w:r/>
            <w:r>
              <w:rPr>
                <w:sz w:val="19"/>
              </w:rPr>
              <w:t>Protected eight-minute silent writing</w:t>
            </w:r>
          </w:p>
        </w:tc>
        <w:tc>
          <w:tcPr>
            <w:tcW w:type="dxa" w:w="1872"/>
          </w:tcPr>
          <w:p>
            <w:r/>
            <w:r>
              <w:rPr>
                <w:sz w:val="19"/>
              </w:rPr>
              <w:t>39</w:t>
            </w:r>
          </w:p>
        </w:tc>
      </w:tr>
      <w:tr>
        <w:tc>
          <w:tcPr>
            <w:tcW w:type="dxa" w:w="1296"/>
          </w:tcPr>
          <w:p>
            <w:r/>
            <w:r>
              <w:rPr>
                <w:sz w:val="19"/>
              </w:rPr>
              <w:t>96-100</w:t>
            </w:r>
          </w:p>
        </w:tc>
        <w:tc>
          <w:tcPr>
            <w:tcW w:type="dxa" w:w="5184"/>
          </w:tcPr>
          <w:p>
            <w:r/>
            <w:r>
              <w:rPr>
                <w:sz w:val="19"/>
              </w:rPr>
              <w:t>Permissioned voluntary reads</w:t>
            </w:r>
          </w:p>
        </w:tc>
        <w:tc>
          <w:tcPr>
            <w:tcW w:type="dxa" w:w="1872"/>
          </w:tcPr>
          <w:p>
            <w:r/>
            <w:r>
              <w:rPr>
                <w:sz w:val="19"/>
              </w:rPr>
              <w:t>40</w:t>
            </w:r>
          </w:p>
        </w:tc>
      </w:tr>
      <w:tr>
        <w:tc>
          <w:tcPr>
            <w:tcW w:type="dxa" w:w="1296"/>
          </w:tcPr>
          <w:p>
            <w:r/>
            <w:r>
              <w:rPr>
                <w:sz w:val="19"/>
              </w:rPr>
              <w:t>100-105</w:t>
            </w:r>
          </w:p>
        </w:tc>
        <w:tc>
          <w:tcPr>
            <w:tcW w:type="dxa" w:w="5184"/>
          </w:tcPr>
          <w:p>
            <w:r/>
            <w:r>
              <w:rPr>
                <w:sz w:val="19"/>
              </w:rPr>
              <w:t>Field Kit, follow-through, and close</w:t>
            </w:r>
          </w:p>
        </w:tc>
        <w:tc>
          <w:tcPr>
            <w:tcW w:type="dxa" w:w="1872"/>
          </w:tcPr>
          <w:p>
            <w:r/>
            <w:r>
              <w:rPr>
                <w:sz w:val="19"/>
              </w:rPr>
              <w:t>41-42</w:t>
            </w:r>
          </w:p>
        </w:tc>
      </w:tr>
      <w:tr>
        <w:tc>
          <w:tcPr>
            <w:tcW w:type="dxa" w:w="1296"/>
          </w:tcPr>
          <w:p>
            <w:r/>
            <w:r>
              <w:rPr>
                <w:sz w:val="19"/>
              </w:rPr>
              <w:t>105-120</w:t>
            </w:r>
          </w:p>
        </w:tc>
        <w:tc>
          <w:tcPr>
            <w:tcW w:type="dxa" w:w="5184"/>
          </w:tcPr>
          <w:p>
            <w:r/>
            <w:r>
              <w:rPr>
                <w:sz w:val="19"/>
              </w:rPr>
              <w:t>Q&amp;A and optional applications</w:t>
            </w:r>
          </w:p>
        </w:tc>
        <w:tc>
          <w:tcPr>
            <w:tcW w:type="dxa" w:w="1872"/>
          </w:tcPr>
          <w:p>
            <w:r/>
            <w:r>
              <w:rPr>
                <w:sz w:val="19"/>
              </w:rPr>
              <w:t>43</w:t>
            </w:r>
          </w:p>
        </w:tc>
      </w:tr>
    </w:tbl>
    <w:p>
      <w:pPr>
        <w:spacing w:after="120"/>
      </w:pPr>
    </w:p>
    <w:p>
      <w:pPr>
        <w:spacing w:after="160" w:before="0"/>
      </w:pPr>
      <w:r>
        <w:rPr>
          <w:b w:val="0"/>
          <w:i/>
          <w:color w:val="555555"/>
          <w:sz w:val="22"/>
        </w:rPr>
        <w:t>Appendix slides (44-46) are not part of the timed core — used only in Q&amp;A or the replay, per their own existing speaker notes.</w:t>
      </w:r>
    </w:p>
    <w:p>
      <w:pPr>
        <w:spacing w:before="80" w:after="80"/>
      </w:pPr>
      <w:r>
        <w:rPr>
          <w:color w:val="555555"/>
          <w:sz w:val="16"/>
        </w:rPr>
        <w:t>――――――――――――――――――――――――――――――――――――――――</w:t>
      </w:r>
    </w:p>
    <w:p>
      <w:pPr>
        <w:spacing w:before="240" w:after="80"/>
      </w:pPr>
      <w:r>
        <w:rPr>
          <w:b/>
          <w:sz w:val="25"/>
        </w:rPr>
        <w:t>BAND SOURCE</w:t>
      </w:r>
    </w:p>
    <w:p>
      <w:pPr>
        <w:spacing w:after="160" w:before="0"/>
      </w:pPr>
      <w:r>
        <w:rPr>
          <w:b w:val="0"/>
          <w:i w:val="0"/>
          <w:color w:val="000000"/>
          <w:sz w:val="21"/>
        </w:rPr>
        <w:t>This binding structure was not newly authored for v5.0 — every band above (except the exact slide numbers, which shift with the structural fix) was already present, in order, in v4.16's own speaker notes before any v5.0 edit was made. This timing map documents and confirms that structure against the corrected slide numbering; it does not change any timing.</w:t>
      </w:r>
    </w:p>
    <w:p>
      <w:pPr>
        <w:spacing w:before="80" w:after="80"/>
      </w:pPr>
      <w:r>
        <w:rPr>
          <w:color w:val="555555"/>
          <w:sz w:val="16"/>
        </w:rPr>
        <w:t>――――――――――――――――――――――――――――――――――――――――</w:t>
      </w:r>
    </w:p>
    <w:p>
      <w:pPr>
        <w:spacing w:before="240" w:after="80"/>
      </w:pPr>
      <w:r>
        <w:rPr>
          <w:b/>
          <w:sz w:val="25"/>
        </w:rPr>
        <w:t>HARD CONSTRAINTS</w:t>
      </w:r>
    </w:p>
    <w:p>
      <w:pPr>
        <w:pStyle w:val="ListBullet"/>
        <w:spacing w:after="60"/>
      </w:pPr>
      <w:r>
        <w:rPr>
          <w:sz w:val="22"/>
        </w:rPr>
        <w:t>The two-hour calendar block is the binding constraint. The designed core is 105 minutes; the final 15 minutes are reserved for Q&amp;A and applications. Total: 120 minutes.</w:t>
      </w:r>
    </w:p>
    <w:p>
      <w:pPr>
        <w:pStyle w:val="ListBullet"/>
        <w:spacing w:after="60"/>
      </w:pPr>
      <w:r>
        <w:rPr>
          <w:sz w:val="22"/>
        </w:rPr>
        <w:t>The protected eight-minute silent-writing block (band 88-96, slide 39) must never be reduced below eight minutes, under any time pressure.</w:t>
      </w:r>
    </w:p>
    <w:p>
      <w:pPr>
        <w:pStyle w:val="ListBullet"/>
        <w:spacing w:after="60"/>
      </w:pPr>
      <w:r>
        <w:rPr>
          <w:sz w:val="22"/>
        </w:rPr>
        <w:t>Part B (band 31-33) releases only after every first placement and confidence number in the room is complete.</w:t>
      </w:r>
    </w:p>
    <w:p>
      <w:pPr>
        <w:pStyle w:val="ListBullet"/>
        <w:spacing w:after="60"/>
      </w:pPr>
      <w:r>
        <w:rPr>
          <w:sz w:val="22"/>
        </w:rPr>
        <w:t>The full instrument is administered live on both passes — no proxy subset, no shortcut, at either read.</w:t>
      </w:r>
    </w:p>
    <w:p>
      <w:pPr>
        <w:spacing w:before="80" w:after="80"/>
      </w:pPr>
      <w:r>
        <w:rPr>
          <w:color w:val="555555"/>
          <w:sz w:val="16"/>
        </w:rPr>
        <w:t>――――――――――――――――――――――――――――――――――――――――</w:t>
      </w:r>
    </w:p>
    <w:p>
      <w:pPr>
        <w:spacing w:before="240" w:after="80"/>
      </w:pPr>
      <w:r>
        <w:rPr>
          <w:b/>
          <w:sz w:val="25"/>
        </w:rPr>
        <w:t>TIME RECOVERY ORDER (unchanged from v4.16)</w:t>
      </w:r>
    </w:p>
    <w:p>
      <w:pPr>
        <w:spacing w:after="60"/>
      </w:pPr>
      <w:r>
        <w:rPr>
          <w:b/>
          <w:color w:val="B00000"/>
          <w:sz w:val="22"/>
        </w:rPr>
        <w:t xml:space="preserve">1.  </w:t>
      </w:r>
      <w:r>
        <w:rPr>
          <w:sz w:val="22"/>
        </w:rPr>
        <w:t>Voluntary reads (band 96-100).</w:t>
      </w:r>
    </w:p>
    <w:p>
      <w:pPr>
        <w:spacing w:after="60"/>
      </w:pPr>
      <w:r>
        <w:rPr>
          <w:b/>
          <w:color w:val="B00000"/>
          <w:sz w:val="22"/>
        </w:rPr>
        <w:t xml:space="preserve">2.  </w:t>
      </w:r>
      <w:r>
        <w:rPr>
          <w:sz w:val="22"/>
        </w:rPr>
        <w:t>Additional state-cost discussion (band 77-84).</w:t>
      </w:r>
    </w:p>
    <w:p>
      <w:pPr>
        <w:spacing w:after="60"/>
      </w:pPr>
      <w:r>
        <w:rPr>
          <w:b/>
          <w:color w:val="B00000"/>
          <w:sz w:val="22"/>
        </w:rPr>
        <w:t xml:space="preserve">3.  </w:t>
      </w:r>
      <w:r>
        <w:rPr>
          <w:sz w:val="22"/>
        </w:rPr>
        <w:t>Extended calibration examples (band 33-48).</w:t>
      </w:r>
    </w:p>
    <w:p>
      <w:pPr>
        <w:spacing w:after="60"/>
      </w:pPr>
      <w:r>
        <w:rPr>
          <w:b/>
          <w:color w:val="B00000"/>
          <w:sz w:val="22"/>
        </w:rPr>
        <w:t xml:space="preserve">4.  </w:t>
      </w:r>
      <w:r>
        <w:rPr>
          <w:sz w:val="22"/>
        </w:rPr>
        <w:t>Optional appendix discussion.</w:t>
      </w:r>
    </w:p>
    <w:p>
      <w:pPr>
        <w:spacing w:after="120" w:before="160"/>
      </w:pPr>
      <w:r>
        <w:rPr>
          <w:b/>
          <w:i w:val="0"/>
          <w:color w:val="B00000"/>
          <w:sz w:val="22"/>
        </w:rPr>
        <w:t>Never shorten: the full initial read, the evidence protocol, the evidence-backed reread, the uncertainty procedure, the corrected placement, the eight-minute writing block, or the final close and rescore date.</w:t>
      </w:r>
    </w:p>
    <w:p>
      <w:pPr>
        <w:spacing w:before="80" w:after="80"/>
      </w:pPr>
      <w:r>
        <w:rPr>
          <w:color w:val="555555"/>
          <w:sz w:val="16"/>
        </w:rPr>
        <w:t>――――――――――――――――――――――――――――――――――――――――</w:t>
      </w:r>
    </w:p>
    <w:p>
      <w:pPr>
        <w:spacing w:after="120" w:before="120"/>
      </w:pPr>
      <w:r>
        <w:rPr>
          <w:b/>
          <w:i w:val="0"/>
          <w:color w:val="555555"/>
          <w:sz w:val="16"/>
        </w:rPr>
        <w:t>PAID WORKSHOP v5.0 — DECK TIMING MAP</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