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THE CLOCK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v1.0 — page 1 of 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9504"/>
      </w:tblGrid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0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Start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8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Density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14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Initial scoring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24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Place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31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PART B RELEASE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33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Calibration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48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Second read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64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Sensitivity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71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What moved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77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State cost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84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Move category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88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SILENT WRITING — DO NOT CUT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96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Voluntary reads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Close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105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Q&amp;A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120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END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/>
          <w:color w:val="555555"/>
          <w:sz w:val="18"/>
        </w:rPr>
        <w:t>12-participant cap · solo facilitator · [CONFIRMED WORKSHOP DATE, TIME, TIME ZONE]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DO NOT FORGET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v1.0 — page 2 of 2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rPr>
          <w:sz w:val="22"/>
        </w:rPr>
        <w:t>Scores stay private</w:t>
      </w:r>
    </w:p>
    <w:p>
      <w:pPr>
        <w:pStyle w:val="ListBullet"/>
        <w:spacing w:after="60"/>
      </w:pPr>
      <w:r>
        <w:rPr>
          <w:sz w:val="22"/>
        </w:rPr>
        <w:t>Stop recording before private work (minute 88)</w:t>
      </w:r>
    </w:p>
    <w:p>
      <w:pPr>
        <w:pStyle w:val="ListBullet"/>
        <w:spacing w:after="60"/>
      </w:pPr>
      <w:r>
        <w:rPr>
          <w:sz w:val="22"/>
        </w:rPr>
        <w:t>No state prescription</w:t>
      </w:r>
    </w:p>
    <w:p>
      <w:pPr>
        <w:pStyle w:val="ListBullet"/>
        <w:spacing w:after="60"/>
      </w:pPr>
      <w:r>
        <w:rPr>
          <w:sz w:val="22"/>
        </w:rPr>
        <w:t>No “good” or “bad” score</w:t>
      </w:r>
    </w:p>
    <w:p>
      <w:pPr>
        <w:pStyle w:val="ListBullet"/>
        <w:spacing w:after="60"/>
      </w:pPr>
      <w:r>
        <w:rPr>
          <w:sz w:val="22"/>
        </w:rPr>
        <w:t>No employment decision</w:t>
      </w:r>
    </w:p>
    <w:p>
      <w:pPr>
        <w:pStyle w:val="ListBullet"/>
        <w:spacing w:after="60"/>
      </w:pPr>
      <w:r>
        <w:rPr>
          <w:sz w:val="22"/>
        </w:rPr>
        <w:t>Part B only after first placement</w:t>
      </w:r>
    </w:p>
    <w:p>
      <w:pPr>
        <w:pStyle w:val="ListBullet"/>
        <w:spacing w:after="60"/>
      </w:pPr>
      <w:r>
        <w:rPr>
          <w:sz w:val="22"/>
        </w:rPr>
        <w:t>One or two ? = provisional</w:t>
      </w:r>
    </w:p>
    <w:p>
      <w:pPr>
        <w:pStyle w:val="ListBullet"/>
        <w:spacing w:after="60"/>
      </w:pPr>
      <w:r>
        <w:rPr>
          <w:sz w:val="22"/>
        </w:rPr>
        <w:t>Three+ on axis = incomplete</w:t>
      </w:r>
    </w:p>
    <w:p>
      <w:pPr>
        <w:pStyle w:val="ListBullet"/>
        <w:spacing w:after="60"/>
      </w:pPr>
      <w:r>
        <w:rPr>
          <w:sz w:val="22"/>
        </w:rPr>
        <w:t>Low scores require evidence too</w:t>
      </w:r>
    </w:p>
    <w:p>
      <w:pPr>
        <w:pStyle w:val="ListBullet"/>
        <w:spacing w:after="60"/>
      </w:pPr>
      <w:r>
        <w:rPr>
          <w:sz w:val="22"/>
        </w:rPr>
        <w:t>Field Kit sent after session</w:t>
      </w:r>
    </w:p>
    <w:p>
      <w:pPr>
        <w:pStyle w:val="ListBullet"/>
        <w:spacing w:after="60"/>
      </w:pPr>
      <w:r>
        <w:rPr>
          <w:sz w:val="22"/>
        </w:rPr>
        <w:t>30-Day Evidence Review included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Q&amp;A BOUNDARY</w:t>
      </w:r>
    </w:p>
    <w:p>
      <w:pPr>
        <w:spacing w:after="160"/>
      </w:pPr>
      <w:r>
        <w:rPr>
          <w:b w:val="0"/>
          <w:i/>
          <w:color w:val="000000"/>
          <w:sz w:val="26"/>
        </w:rPr>
        <w:t>“I can help you clarify what your evidence supports. I cannot make the employment decision for you.”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TIME RECOVERY</w:t>
      </w:r>
    </w:p>
    <w:p>
      <w:pPr>
        <w:spacing w:after="120"/>
      </w:pPr>
      <w:r>
        <w:rPr>
          <w:b/>
          <w:color w:val="B00000"/>
          <w:sz w:val="21"/>
        </w:rPr>
        <w:t xml:space="preserve">CUT FIRST:  </w:t>
      </w:r>
      <w:r>
        <w:rPr>
          <w:sz w:val="21"/>
        </w:rPr>
        <w:t>voluntary reads  →  extended state-cost discussion  →  extra calibration examples</w:t>
      </w:r>
    </w:p>
    <w:p>
      <w:pPr>
        <w:spacing w:after="200"/>
      </w:pPr>
      <w:r>
        <w:rPr>
          <w:b/>
          <w:color w:val="1A7A1A"/>
          <w:sz w:val="21"/>
        </w:rPr>
        <w:t xml:space="preserve">NEVER CUT:  </w:t>
      </w:r>
      <w:r>
        <w:rPr>
          <w:sz w:val="21"/>
        </w:rPr>
        <w:t>initial read → evidence protocol → second read → sensitivity → corrected placement → eight-minute writing → close</w:t>
      </w:r>
    </w:p>
    <w:p>
      <w:pPr>
        <w:spacing w:after="120"/>
      </w:pPr>
      <w:r>
        <w:rPr>
          <w:b w:val="0"/>
          <w:i/>
          <w:color w:val="555555"/>
          <w:sz w:val="17"/>
        </w:rPr>
        <w:t>Not a facilitator script — see the Facilitator Guide and Solo Run Sheet for full teaching content.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