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 w:line="283" w:lineRule="auto"/>
      </w:pPr>
      <w:r>
        <w:rPr>
          <w:b/>
          <w:i w:val="0"/>
          <w:color w:val="9B2C10"/>
          <w:sz w:val="44"/>
        </w:rPr>
        <w:t>EDITOR ONLY</w:t>
      </w:r>
    </w:p>
    <w:p>
      <w:pPr>
        <w:spacing w:before="0" w:after="32" w:line="283" w:lineRule="auto"/>
      </w:pPr>
      <w:r>
        <w:rPr>
          <w:b/>
          <w:i w:val="0"/>
          <w:caps/>
          <w:color w:val="8A6D1E"/>
          <w:sz w:val="24"/>
        </w:rPr>
        <w:t>VIDEO 5</w:t>
      </w:r>
    </w:p>
    <w:p>
      <w:pPr>
        <w:spacing w:before="0" w:after="96" w:line="264" w:lineRule="auto"/>
      </w:pPr>
      <w:r>
        <w:rPr>
          <w:b/>
          <w:i w:val="0"/>
          <w:color w:val="0F2346"/>
          <w:sz w:val="40"/>
        </w:rPr>
        <w:t>Should I Make an Internal Move? 3 Questions to Decide</w:t>
      </w:r>
    </w:p>
    <w:p>
      <w:pPr>
        <w:spacing w:before="0" w:after="256" w:line="283" w:lineRule="auto"/>
        <w:shd w:val="clear" w:fill="F3F0E8"/>
      </w:pPr>
      <w:r>
        <w:rPr>
          <w:b w:val="0"/>
          <w:i/>
          <w:color w:val="5A6B82"/>
          <w:sz w:val="22"/>
        </w:rPr>
        <w:t>This document is for the editor. It is NOT Temidayo's teleprompter and must not be placed on the recording screen.</w:t>
      </w:r>
    </w:p>
    <w:p>
      <w:pPr>
        <w:spacing w:before="224" w:after="128" w:line="283" w:lineRule="auto"/>
        <w:keepLines w:val="1"/>
        <w:keepNext w:val="1"/>
      </w:pPr>
      <w:r>
        <w:rPr>
          <w:b/>
          <w:i w:val="0"/>
          <w:color w:val="0F2346"/>
          <w:sz w:val="28"/>
        </w:rPr>
        <w:t>Locked metadata</w:t>
      </w:r>
    </w:p>
    <w:p>
      <w:pPr>
        <w:spacing w:before="0" w:after="80" w:line="283" w:lineRule="auto"/>
        <w:keepLines w:val="1"/>
      </w:pPr>
      <w:r>
        <w:rPr>
          <w:b w:val="0"/>
          <w:i w:val="0"/>
          <w:sz w:val="22"/>
        </w:rPr>
        <w:t>Title:             Should I Make an Internal Move? 3 Questions to Decide</w:t>
      </w:r>
    </w:p>
    <w:p>
      <w:pPr>
        <w:spacing w:before="0" w:after="80" w:line="283" w:lineRule="auto"/>
        <w:keepLines w:val="1"/>
      </w:pPr>
      <w:r>
        <w:rPr>
          <w:b w:val="0"/>
          <w:i w:val="0"/>
          <w:sz w:val="22"/>
        </w:rPr>
        <w:t>Thumbnail:         YOU MAY NOT NEED TO LEAVE</w:t>
      </w:r>
    </w:p>
    <w:p>
      <w:pPr>
        <w:spacing w:before="0" w:after="80" w:line="283" w:lineRule="auto"/>
        <w:keepLines w:val="1"/>
      </w:pPr>
      <w:r>
        <w:rPr>
          <w:b w:val="0"/>
          <w:i w:val="0"/>
          <w:sz w:val="22"/>
        </w:rPr>
        <w:t>Primary CTA:       Career Decision Evidence Check</w:t>
      </w:r>
    </w:p>
    <w:p>
      <w:pPr>
        <w:spacing w:before="0" w:after="80" w:line="283" w:lineRule="auto"/>
        <w:keepLines w:val="1"/>
      </w:pPr>
      <w:r>
        <w:rPr>
          <w:b w:val="0"/>
          <w:i w:val="0"/>
          <w:sz w:val="22"/>
        </w:rPr>
        <w:t>CTA URL:           https://temidayoafonja.com/career-decisions</w:t>
      </w:r>
    </w:p>
    <w:p>
      <w:pPr>
        <w:spacing w:before="0" w:after="80" w:line="283" w:lineRule="auto"/>
        <w:keepLines w:val="1"/>
      </w:pPr>
      <w:r>
        <w:rPr>
          <w:b w:val="0"/>
          <w:i w:val="0"/>
          <w:sz w:val="22"/>
        </w:rPr>
        <w:t>Watch next:        Are You Growing—or Just Being Given More Work?</w:t>
      </w:r>
    </w:p>
    <w:p>
      <w:pPr>
        <w:spacing w:before="0" w:after="80" w:line="283" w:lineRule="auto"/>
        <w:keepLines w:val="1"/>
      </w:pPr>
      <w:r>
        <w:rPr>
          <w:b w:val="0"/>
          <w:i w:val="0"/>
          <w:sz w:val="22"/>
        </w:rPr>
        <w:t>Core distinction:  Movement is not automatically growth. The test is whether an internal move changes the work, expands judgment and creates evidence that can travel.</w:t>
      </w:r>
    </w:p>
    <w:p>
      <w:pPr>
        <w:spacing w:before="128" w:after="160" w:line="283" w:lineRule="auto"/>
        <w:shd w:val="clear" w:fill="F3F0E8"/>
        <w:keepLines w:val="1"/>
      </w:pPr>
      <w:r>
        <w:rPr>
          <w:b/>
          <w:i w:val="0"/>
          <w:color w:val="0F2346"/>
          <w:sz w:val="22"/>
        </w:rPr>
        <w:t>CTA PRODUCTION GATE: SATISFIED. The Career Decision Evidence Check page is live and the core production journey has been verified. Video 5 is NOT blocked on this CTA page. One normal signed-out link check is retained in the final upload SOP.</w:t>
      </w:r>
    </w:p>
    <w:p>
      <w:pPr>
        <w:spacing w:before="224" w:after="128" w:line="283" w:lineRule="auto"/>
        <w:keepLines w:val="1"/>
        <w:keepNext w:val="1"/>
      </w:pPr>
      <w:r>
        <w:rPr>
          <w:b/>
          <w:i w:val="0"/>
          <w:color w:val="0F2346"/>
          <w:sz w:val="28"/>
        </w:rPr>
        <w:t>First 30 seconds — H.I.T.</w:t>
      </w:r>
    </w:p>
    <w:p>
      <w:pPr>
        <w:spacing w:before="0" w:after="128" w:line="283" w:lineRule="auto"/>
      </w:pPr>
      <w:r>
        <w:rPr>
          <w:b w:val="0"/>
          <w:i w:val="0"/>
          <w:sz w:val="22"/>
        </w:rPr>
        <w:t>H = Hook. I = Interest. T = Trust. The opening must work as one audiovisual unit: immediate conversational hook, meaningful visual interest, relevant personal proof, and a clear viewer payoff by roughly 20 to 30 seconds. No generic welcome before the promise. No résumé recital. No forced statistic.</w:t>
      </w:r>
    </w:p>
    <w:p>
      <w:pPr>
        <w:spacing w:before="0" w:after="160" w:line="283" w:lineRule="auto"/>
        <w:shd w:val="clear" w:fill="F3F0E8"/>
        <w:keepLines w:val="1"/>
      </w:pPr>
      <w:r>
        <w:rPr>
          <w:b/>
          <w:i w:val="0"/>
          <w:color w:val="9B2C10"/>
          <w:sz w:val="22"/>
        </w:rPr>
        <w:t>The older Video 5 exception that delayed personal proof until roughly 1:35 is SUPERSEDED by this H.I.T. rebuild. The proof now sits in the opening.</w:t>
      </w:r>
    </w:p>
    <w:p>
      <w:pPr>
        <w:spacing w:before="160" w:after="80" w:line="283" w:lineRule="auto"/>
        <w:keepLines w:val="1"/>
        <w:keepNext w:val="1"/>
      </w:pPr>
      <w:r>
        <w:rPr>
          <w:b/>
          <w:i w:val="0"/>
          <w:color w:val="0F2346"/>
          <w:sz w:val="23"/>
        </w:rPr>
        <w:t>0:00–0:05</w:t>
      </w:r>
    </w:p>
    <w:p>
      <w:pPr>
        <w:spacing w:before="0" w:after="128" w:line="283" w:lineRule="auto"/>
        <w:shd w:val="clear" w:fill="F3F0E8"/>
      </w:pPr>
      <w:r>
        <w:rPr>
          <w:b w:val="0"/>
          <w:i/>
          <w:color w:val="5A6B82"/>
          <w:sz w:val="21"/>
        </w:rPr>
        <w:t>Spoken anchor:  “You may not need to leave your company.”</w:t>
      </w:r>
    </w:p>
    <w:p>
      <w:pPr>
        <w:spacing w:before="0" w:after="96" w:line="283" w:lineRule="auto"/>
        <w:keepLines w:val="1"/>
      </w:pPr>
      <w:r>
        <w:rPr>
          <w:b/>
          <w:i w:val="0"/>
          <w:color w:val="8A6D1E"/>
          <w:sz w:val="22"/>
        </w:rPr>
        <w:t>H = HOOK</w:t>
      </w:r>
    </w:p>
    <w:p>
      <w:pPr>
        <w:spacing w:before="0" w:after="80" w:line="283" w:lineRule="auto"/>
        <w:keepLines w:val="1"/>
      </w:pPr>
      <w:r>
        <w:rPr>
          <w:b w:val="0"/>
          <w:i w:val="0"/>
          <w:sz w:val="22"/>
        </w:rPr>
        <w:t>Visual: begin direct to camera.</w:t>
      </w:r>
    </w:p>
    <w:p>
      <w:pPr>
        <w:spacing w:before="0" w:after="80" w:line="283" w:lineRule="auto"/>
        <w:keepLines w:val="1"/>
      </w:pPr>
      <w:r>
        <w:rPr>
          <w:b w:val="0"/>
          <w:i w:val="0"/>
          <w:sz w:val="22"/>
        </w:rPr>
        <w:t>On-screen text:  YOU MAY NOT NEED TO LEAVE</w:t>
      </w:r>
    </w:p>
    <w:p>
      <w:pPr>
        <w:spacing w:before="0" w:after="80" w:line="283" w:lineRule="auto"/>
        <w:keepLines w:val="1"/>
      </w:pPr>
      <w:r>
        <w:rPr>
          <w:b w:val="0"/>
          <w:i w:val="0"/>
          <w:sz w:val="22"/>
        </w:rPr>
        <w:t>No title card before this.</w:t>
      </w:r>
    </w:p>
    <w:p>
      <w:pPr>
        <w:spacing w:before="160" w:after="80" w:line="283" w:lineRule="auto"/>
        <w:keepLines w:val="1"/>
        <w:keepNext w:val="1"/>
      </w:pPr>
      <w:r>
        <w:rPr>
          <w:b/>
          <w:i w:val="0"/>
          <w:color w:val="0F2346"/>
          <w:sz w:val="23"/>
        </w:rPr>
        <w:t>0:05–0:10</w:t>
      </w:r>
    </w:p>
    <w:p>
      <w:pPr>
        <w:spacing w:before="0" w:after="128" w:line="283" w:lineRule="auto"/>
        <w:shd w:val="clear" w:fill="F3F0E8"/>
      </w:pPr>
      <w:r>
        <w:rPr>
          <w:b w:val="0"/>
          <w:i/>
          <w:color w:val="5A6B82"/>
          <w:sz w:val="21"/>
        </w:rPr>
        <w:t>Spoken anchor:  “You may need access to different work inside it.”</w:t>
      </w:r>
    </w:p>
    <w:p>
      <w:pPr>
        <w:spacing w:before="0" w:after="96" w:line="283" w:lineRule="auto"/>
        <w:keepLines w:val="1"/>
      </w:pPr>
      <w:r>
        <w:rPr>
          <w:b/>
          <w:i w:val="0"/>
          <w:color w:val="8A6D1E"/>
          <w:sz w:val="22"/>
        </w:rPr>
        <w:t>I = INTEREST</w:t>
      </w:r>
    </w:p>
    <w:p>
      <w:pPr>
        <w:spacing w:before="0" w:after="80" w:line="283" w:lineRule="auto"/>
        <w:keepLines w:val="1"/>
      </w:pPr>
      <w:r>
        <w:rPr>
          <w:b w:val="0"/>
          <w:i w:val="0"/>
          <w:sz w:val="22"/>
        </w:rPr>
        <w:t>Visual:  SAME COMPANY  /  DIFFERENT WORK</w:t>
      </w:r>
    </w:p>
    <w:p>
      <w:pPr>
        <w:spacing w:before="0" w:after="80" w:line="283" w:lineRule="auto"/>
        <w:keepLines w:val="1"/>
      </w:pPr>
      <w:r>
        <w:rPr>
          <w:b w:val="0"/>
          <w:i w:val="0"/>
          <w:sz w:val="22"/>
        </w:rPr>
        <w:t>Do not use office-building, doorway, transfer-arrow or org-chart stock imagery.</w:t>
      </w:r>
    </w:p>
    <w:p>
      <w:pPr>
        <w:spacing w:before="160" w:after="80" w:line="283" w:lineRule="auto"/>
        <w:keepLines w:val="1"/>
        <w:keepNext w:val="1"/>
      </w:pPr>
      <w:r>
        <w:rPr>
          <w:b/>
          <w:i w:val="0"/>
          <w:color w:val="0F2346"/>
          <w:sz w:val="23"/>
        </w:rPr>
        <w:t>0:10–0:20</w:t>
      </w:r>
    </w:p>
    <w:p>
      <w:pPr>
        <w:spacing w:before="0" w:after="128" w:line="283" w:lineRule="auto"/>
        <w:shd w:val="clear" w:fill="F3F0E8"/>
      </w:pPr>
      <w:r>
        <w:rPr>
          <w:b w:val="0"/>
          <w:i/>
          <w:color w:val="5A6B82"/>
          <w:sz w:val="21"/>
        </w:rPr>
        <w:t>Spoken anchor:  “I’ve had my own scope expand inside an organization before…”</w:t>
      </w:r>
    </w:p>
    <w:p>
      <w:pPr>
        <w:spacing w:before="0" w:after="96" w:line="283" w:lineRule="auto"/>
        <w:keepLines w:val="1"/>
      </w:pPr>
      <w:r>
        <w:rPr>
          <w:b/>
          <w:i w:val="0"/>
          <w:color w:val="8A6D1E"/>
          <w:sz w:val="22"/>
        </w:rPr>
        <w:t>T = TRUST</w:t>
      </w:r>
    </w:p>
    <w:p>
      <w:pPr>
        <w:spacing w:before="0" w:after="80" w:line="283" w:lineRule="auto"/>
        <w:keepLines w:val="1"/>
      </w:pPr>
      <w:r>
        <w:rPr>
          <w:b w:val="0"/>
          <w:i w:val="0"/>
          <w:sz w:val="22"/>
        </w:rPr>
        <w:t>Visual progression:  MORE WORK?  then  DIFFERENT WORK</w:t>
      </w:r>
    </w:p>
    <w:p>
      <w:pPr>
        <w:spacing w:before="96" w:after="160" w:line="283" w:lineRule="auto"/>
        <w:shd w:val="clear" w:fill="F3F0E8"/>
        <w:keepLines w:val="1"/>
      </w:pPr>
      <w:r>
        <w:rPr>
          <w:b/>
          <w:i w:val="0"/>
          <w:color w:val="9B2C10"/>
          <w:sz w:val="22"/>
        </w:rPr>
        <w:t>FACTUAL BOUNDARY. The confirmed evidence is only that Temidayo's scope expanded after roughly six months and trust extended beyond the original box. Do not add an employer, an exact role, an exact assignment, a causal claim, a quote, a metric or an unsupported result.</w:t>
      </w:r>
    </w:p>
    <w:p>
      <w:pPr>
        <w:spacing w:before="160" w:after="80" w:line="283" w:lineRule="auto"/>
        <w:keepLines w:val="1"/>
        <w:keepNext w:val="1"/>
      </w:pPr>
      <w:r>
        <w:rPr>
          <w:b/>
          <w:i w:val="0"/>
          <w:color w:val="0F2346"/>
          <w:sz w:val="23"/>
        </w:rPr>
        <w:t>0:20–0:30</w:t>
      </w:r>
    </w:p>
    <w:p>
      <w:pPr>
        <w:spacing w:before="0" w:after="128" w:line="283" w:lineRule="auto"/>
        <w:shd w:val="clear" w:fill="F3F0E8"/>
      </w:pPr>
      <w:r>
        <w:rPr>
          <w:b w:val="0"/>
          <w:i/>
          <w:color w:val="5A6B82"/>
          <w:sz w:val="21"/>
        </w:rPr>
        <w:t>Spoken anchor:  “So before you accept an internal move…”</w:t>
      </w:r>
    </w:p>
    <w:p>
      <w:pPr>
        <w:spacing w:before="0" w:after="96" w:line="283" w:lineRule="auto"/>
        <w:keepLines w:val="1"/>
      </w:pPr>
      <w:r>
        <w:rPr>
          <w:b/>
          <w:i w:val="0"/>
          <w:color w:val="8A6D1E"/>
          <w:sz w:val="22"/>
        </w:rPr>
        <w:t>PAYOFF</w:t>
      </w:r>
    </w:p>
    <w:p>
      <w:pPr>
        <w:spacing w:before="0" w:after="80" w:line="283" w:lineRule="auto"/>
        <w:keepLines w:val="1"/>
      </w:pPr>
      <w:r>
        <w:rPr>
          <w:b w:val="0"/>
          <w:i w:val="0"/>
          <w:sz w:val="22"/>
        </w:rPr>
        <w:t>Progressively reveal:</w:t>
      </w:r>
    </w:p>
    <w:p>
      <w:pPr>
        <w:spacing w:before="0" w:after="80" w:line="283" w:lineRule="auto"/>
        <w:keepLines w:val="1"/>
      </w:pPr>
      <w:r>
        <w:rPr>
          <w:b w:val="0"/>
          <w:i w:val="0"/>
          <w:sz w:val="22"/>
        </w:rPr>
        <w:t xml:space="preserve">     WILL THE WORK CHANGE?</w:t>
      </w:r>
    </w:p>
    <w:p>
      <w:pPr>
        <w:spacing w:before="0" w:after="80" w:line="283" w:lineRule="auto"/>
        <w:keepLines w:val="1"/>
      </w:pPr>
      <w:r>
        <w:rPr>
          <w:b w:val="0"/>
          <w:i w:val="0"/>
          <w:sz w:val="22"/>
        </w:rPr>
        <w:t xml:space="preserve">     WILL YOUR JUDGMENT EXPAND?</w:t>
      </w:r>
    </w:p>
    <w:p>
      <w:pPr>
        <w:spacing w:before="0" w:after="80" w:line="283" w:lineRule="auto"/>
        <w:keepLines w:val="1"/>
      </w:pPr>
      <w:r>
        <w:rPr>
          <w:b w:val="0"/>
          <w:i w:val="0"/>
          <w:sz w:val="22"/>
        </w:rPr>
        <w:t xml:space="preserve">     WILL THE EVIDENCE TRAVEL?</w:t>
      </w:r>
    </w:p>
    <w:p>
      <w:pPr>
        <w:spacing w:before="0" w:after="80" w:line="283" w:lineRule="auto"/>
        <w:keepLines w:val="1"/>
      </w:pPr>
      <w:r>
        <w:rPr>
          <w:b w:val="0"/>
          <w:i w:val="0"/>
          <w:sz w:val="22"/>
        </w:rPr>
        <w:t>Then move into the existing deck.</w:t>
      </w:r>
    </w:p>
    <w:p>
      <w:pPr>
        <w:spacing w:before="224" w:after="128" w:line="283" w:lineRule="auto"/>
        <w:keepLines w:val="1"/>
        <w:keepNext w:val="1"/>
      </w:pPr>
      <w:r>
        <w:rPr>
          <w:b/>
          <w:i w:val="0"/>
          <w:color w:val="0F2346"/>
          <w:sz w:val="28"/>
        </w:rPr>
        <w:t>Editorial rhythm after the opening</w:t>
      </w:r>
    </w:p>
    <w:p>
      <w:pPr>
        <w:spacing w:before="0" w:after="96" w:line="283" w:lineRule="auto"/>
      </w:pPr>
      <w:r>
        <w:rPr>
          <w:b w:val="0"/>
          <w:i w:val="0"/>
          <w:sz w:val="22"/>
        </w:rPr>
        <w:t>After the first 30 seconds:</w:t>
      </w:r>
    </w:p>
    <w:p>
      <w:pPr>
        <w:spacing w:before="0" w:after="64" w:line="283" w:lineRule="auto"/>
        <w:keepLines w:val="1"/>
      </w:pPr>
      <w:r>
        <w:rPr>
          <w:b w:val="0"/>
          <w:i w:val="0"/>
          <w:sz w:val="22"/>
        </w:rPr>
        <w:t>—  preserve natural pacing;</w:t>
      </w:r>
    </w:p>
    <w:p>
      <w:pPr>
        <w:spacing w:before="0" w:after="64" w:line="283" w:lineRule="auto"/>
        <w:keepLines w:val="1"/>
      </w:pPr>
      <w:r>
        <w:rPr>
          <w:b w:val="0"/>
          <w:i w:val="0"/>
          <w:sz w:val="22"/>
        </w:rPr>
        <w:t>—  use the existing slides as teaching support;</w:t>
      </w:r>
    </w:p>
    <w:p>
      <w:pPr>
        <w:spacing w:before="0" w:after="64" w:line="283" w:lineRule="auto"/>
        <w:keepLines w:val="1"/>
      </w:pPr>
      <w:r>
        <w:rPr>
          <w:b w:val="0"/>
          <w:i w:val="0"/>
          <w:sz w:val="22"/>
        </w:rPr>
        <w:t>—  avoid constant motion;</w:t>
      </w:r>
    </w:p>
    <w:p>
      <w:pPr>
        <w:spacing w:before="0" w:after="64" w:line="283" w:lineRule="auto"/>
        <w:keepLines w:val="1"/>
      </w:pPr>
      <w:r>
        <w:rPr>
          <w:b w:val="0"/>
          <w:i w:val="0"/>
          <w:sz w:val="22"/>
        </w:rPr>
        <w:t>—  avoid decorative B-roll;</w:t>
      </w:r>
    </w:p>
    <w:p>
      <w:pPr>
        <w:spacing w:before="0" w:after="64" w:line="283" w:lineRule="auto"/>
        <w:keepLines w:val="1"/>
      </w:pPr>
      <w:r>
        <w:rPr>
          <w:b w:val="0"/>
          <w:i w:val="0"/>
          <w:sz w:val="22"/>
        </w:rPr>
        <w:t>—  avoid unnecessary text duplication;</w:t>
      </w:r>
    </w:p>
    <w:p>
      <w:pPr>
        <w:spacing w:before="0" w:after="64" w:line="283" w:lineRule="auto"/>
        <w:keepLines w:val="1"/>
      </w:pPr>
      <w:r>
        <w:rPr>
          <w:b w:val="0"/>
          <w:i w:val="0"/>
          <w:sz w:val="22"/>
        </w:rPr>
        <w:t>—  avoid constant punch-ins;</w:t>
      </w:r>
    </w:p>
    <w:p>
      <w:pPr>
        <w:spacing w:before="0" w:after="64" w:line="283" w:lineRule="auto"/>
        <w:keepLines w:val="1"/>
      </w:pPr>
      <w:r>
        <w:rPr>
          <w:b w:val="0"/>
          <w:i w:val="0"/>
          <w:sz w:val="22"/>
        </w:rPr>
        <w:t>—  allow reflective pauses.</w:t>
      </w:r>
    </w:p>
    <w:p>
      <w:pPr>
        <w:spacing w:before="224" w:after="128" w:line="283" w:lineRule="auto"/>
        <w:keepLines w:val="1"/>
        <w:keepNext w:val="1"/>
      </w:pPr>
      <w:r>
        <w:rPr>
          <w:b/>
          <w:i w:val="0"/>
          <w:color w:val="0F2346"/>
          <w:sz w:val="28"/>
        </w:rPr>
        <w:t>Existing slides — unchanged</w:t>
      </w:r>
    </w:p>
    <w:p>
      <w:pPr>
        <w:spacing w:before="0" w:after="128" w:line="283" w:lineRule="auto"/>
      </w:pPr>
      <w:r>
        <w:rPr>
          <w:b w:val="0"/>
          <w:i w:val="0"/>
          <w:sz w:val="22"/>
        </w:rPr>
        <w:t>Use exactly the existing 12-slide sequence. The reveal-build deck is unchanged. Do not add, delete, redesign or reorder slides.</w:t>
      </w:r>
    </w:p>
    <w:p>
      <w:pPr>
        <w:spacing w:before="0" w:after="48" w:line="283" w:lineRule="auto"/>
        <w:keepLines w:val="1"/>
      </w:pPr>
      <w:r>
        <w:rPr>
          <w:b w:val="0"/>
          <w:i w:val="0"/>
          <w:sz w:val="21"/>
        </w:rPr>
        <w:t>Slide 1   Core Distinction</w:t>
      </w:r>
    </w:p>
    <w:p>
      <w:pPr>
        <w:spacing w:before="0" w:after="48" w:line="283" w:lineRule="auto"/>
        <w:keepLines w:val="1"/>
      </w:pPr>
      <w:r>
        <w:rPr>
          <w:b w:val="0"/>
          <w:i w:val="0"/>
          <w:sz w:val="21"/>
        </w:rPr>
        <w:t>Slide 2   The Three Questions</w:t>
      </w:r>
    </w:p>
    <w:p>
      <w:pPr>
        <w:spacing w:before="0" w:after="48" w:line="283" w:lineRule="auto"/>
        <w:keepLines w:val="1"/>
      </w:pPr>
      <w:r>
        <w:rPr>
          <w:b w:val="0"/>
          <w:i w:val="0"/>
          <w:sz w:val="21"/>
        </w:rPr>
        <w:t>Slide 3   1 — Will the Work Change?</w:t>
      </w:r>
    </w:p>
    <w:p>
      <w:pPr>
        <w:spacing w:before="0" w:after="48" w:line="283" w:lineRule="auto"/>
        <w:keepLines w:val="1"/>
      </w:pPr>
      <w:r>
        <w:rPr>
          <w:b w:val="0"/>
          <w:i w:val="0"/>
          <w:sz w:val="21"/>
        </w:rPr>
        <w:t>Slide 4   Access Test / New Problems, Systems, Stakeholders, Context</w:t>
      </w:r>
    </w:p>
    <w:p>
      <w:pPr>
        <w:spacing w:before="0" w:after="48" w:line="283" w:lineRule="auto"/>
        <w:keepLines w:val="1"/>
      </w:pPr>
      <w:r>
        <w:rPr>
          <w:b w:val="0"/>
          <w:i w:val="0"/>
          <w:sz w:val="21"/>
        </w:rPr>
        <w:t>Slide 5   2 — Will Your Judgment Expand?</w:t>
      </w:r>
    </w:p>
    <w:p>
      <w:pPr>
        <w:spacing w:before="0" w:after="48" w:line="283" w:lineRule="auto"/>
        <w:keepLines w:val="1"/>
      </w:pPr>
      <w:r>
        <w:rPr>
          <w:b w:val="0"/>
          <w:i w:val="0"/>
          <w:sz w:val="21"/>
        </w:rPr>
        <w:t>Slide 6   More Tasks / More Judgment</w:t>
      </w:r>
    </w:p>
    <w:p>
      <w:pPr>
        <w:spacing w:before="0" w:after="48" w:line="283" w:lineRule="auto"/>
        <w:keepLines w:val="1"/>
      </w:pPr>
      <w:r>
        <w:rPr>
          <w:b w:val="0"/>
          <w:i w:val="0"/>
          <w:sz w:val="21"/>
        </w:rPr>
        <w:t>Slide 7   3 — Will the Evidence Travel?</w:t>
      </w:r>
    </w:p>
    <w:p>
      <w:pPr>
        <w:spacing w:before="0" w:after="48" w:line="283" w:lineRule="auto"/>
        <w:keepLines w:val="1"/>
      </w:pPr>
      <w:r>
        <w:rPr>
          <w:b w:val="0"/>
          <w:i w:val="0"/>
          <w:sz w:val="21"/>
        </w:rPr>
        <w:t>Slide 8   Result / Judgment / Range</w:t>
      </w:r>
    </w:p>
    <w:p>
      <w:pPr>
        <w:spacing w:before="0" w:after="48" w:line="283" w:lineRule="auto"/>
        <w:keepLines w:val="1"/>
      </w:pPr>
      <w:r>
        <w:rPr>
          <w:b w:val="0"/>
          <w:i w:val="0"/>
          <w:sz w:val="21"/>
        </w:rPr>
        <w:t>Slide 9   Decision Read</w:t>
      </w:r>
    </w:p>
    <w:p>
      <w:pPr>
        <w:spacing w:before="0" w:after="48" w:line="283" w:lineRule="auto"/>
        <w:keepLines w:val="1"/>
      </w:pPr>
      <w:r>
        <w:rPr>
          <w:b w:val="0"/>
          <w:i w:val="0"/>
          <w:sz w:val="21"/>
        </w:rPr>
        <w:t>Slide 10  Conversation Prompts</w:t>
      </w:r>
    </w:p>
    <w:p>
      <w:pPr>
        <w:spacing w:before="0" w:after="48" w:line="283" w:lineRule="auto"/>
        <w:keepLines w:val="1"/>
      </w:pPr>
      <w:r>
        <w:rPr>
          <w:b w:val="0"/>
          <w:i w:val="0"/>
          <w:sz w:val="21"/>
        </w:rPr>
        <w:t>Slide 11  Career Decision Evidence Check</w:t>
      </w:r>
    </w:p>
    <w:p>
      <w:pPr>
        <w:spacing w:before="0" w:after="48" w:line="283" w:lineRule="auto"/>
        <w:keepLines w:val="1"/>
      </w:pPr>
      <w:r>
        <w:rPr>
          <w:b w:val="0"/>
          <w:i w:val="0"/>
          <w:sz w:val="21"/>
        </w:rPr>
        <w:t>Slide 12  Watch Next</w:t>
      </w:r>
    </w:p>
    <w:p>
      <w:pPr>
        <w:spacing w:before="224" w:after="128" w:line="283" w:lineRule="auto"/>
        <w:keepLines w:val="1"/>
        <w:keepNext w:val="1"/>
      </w:pPr>
      <w:r>
        <w:rPr>
          <w:b/>
          <w:i w:val="0"/>
          <w:color w:val="0F2346"/>
          <w:sz w:val="28"/>
        </w:rPr>
        <w:t>Let the visual carry information</w:t>
      </w:r>
    </w:p>
    <w:p>
      <w:pPr>
        <w:spacing w:before="0" w:after="96" w:line="283" w:lineRule="auto"/>
      </w:pPr>
      <w:r>
        <w:rPr>
          <w:b w:val="0"/>
          <w:i w:val="0"/>
          <w:sz w:val="22"/>
        </w:rPr>
        <w:t>Do not add spoken wording to compensate for slide copy.</w:t>
      </w:r>
    </w:p>
    <w:p>
      <w:pPr>
        <w:spacing w:before="0" w:after="80" w:line="283" w:lineRule="auto"/>
        <w:keepLines w:val="1"/>
      </w:pPr>
      <w:r>
        <w:rPr>
          <w:b w:val="0"/>
          <w:i w:val="0"/>
          <w:sz w:val="22"/>
        </w:rPr>
        <w:t>Slide 2 carries the three-question preview.</w:t>
      </w:r>
    </w:p>
    <w:p>
      <w:pPr>
        <w:spacing w:before="0" w:after="80" w:line="283" w:lineRule="auto"/>
        <w:keepLines w:val="1"/>
      </w:pPr>
      <w:r>
        <w:rPr>
          <w:b w:val="0"/>
          <w:i w:val="0"/>
          <w:sz w:val="22"/>
        </w:rPr>
        <w:t>Slide 4 carries new problems / systems / stakeholders / context.</w:t>
      </w:r>
    </w:p>
    <w:p>
      <w:pPr>
        <w:spacing w:before="0" w:after="80" w:line="283" w:lineRule="auto"/>
        <w:keepLines w:val="1"/>
      </w:pPr>
      <w:r>
        <w:rPr>
          <w:b w:val="0"/>
          <w:i w:val="0"/>
          <w:sz w:val="22"/>
        </w:rPr>
        <w:t>Slide 6 carries MORE TASKS vs MORE JUDGMENT.</w:t>
      </w:r>
    </w:p>
    <w:p>
      <w:pPr>
        <w:spacing w:before="0" w:after="80" w:line="283" w:lineRule="auto"/>
        <w:keepLines w:val="1"/>
      </w:pPr>
      <w:r>
        <w:rPr>
          <w:b w:val="0"/>
          <w:i w:val="0"/>
          <w:sz w:val="22"/>
        </w:rPr>
        <w:t>Slide 8 carries RESULT / JUDGMENT / RANGE.</w:t>
      </w:r>
    </w:p>
    <w:p>
      <w:pPr>
        <w:spacing w:before="0" w:after="80" w:line="283" w:lineRule="auto"/>
        <w:keepLines w:val="1"/>
      </w:pPr>
      <w:r>
        <w:rPr>
          <w:b w:val="0"/>
          <w:i w:val="0"/>
          <w:sz w:val="22"/>
        </w:rPr>
        <w:t>Slide 9 carries the 3 / 2 / 0–1 decision read.</w:t>
      </w:r>
    </w:p>
    <w:p>
      <w:pPr>
        <w:spacing w:before="0" w:after="80" w:line="283" w:lineRule="auto"/>
        <w:keepLines w:val="1"/>
      </w:pPr>
      <w:r>
        <w:rPr>
          <w:b w:val="0"/>
          <w:i w:val="0"/>
          <w:sz w:val="22"/>
        </w:rPr>
        <w:t>Slide 10 carries the conversation prompts.</w:t>
      </w:r>
    </w:p>
    <w:p>
      <w:pPr>
        <w:spacing w:before="224" w:after="128" w:line="283" w:lineRule="auto"/>
        <w:keepLines w:val="1"/>
        <w:keepNext w:val="1"/>
      </w:pPr>
      <w:r>
        <w:rPr>
          <w:b/>
          <w:i w:val="0"/>
          <w:color w:val="0F2346"/>
          <w:sz w:val="28"/>
        </w:rPr>
        <w:t>Visual boundaries</w:t>
      </w:r>
    </w:p>
    <w:p>
      <w:pPr>
        <w:spacing w:before="0" w:after="80" w:line="283" w:lineRule="auto"/>
      </w:pPr>
      <w:r>
        <w:rPr>
          <w:b w:val="0"/>
          <w:i w:val="0"/>
          <w:sz w:val="22"/>
        </w:rPr>
        <w:t>Do not use:</w:t>
      </w:r>
    </w:p>
    <w:p>
      <w:pPr>
        <w:spacing w:before="0" w:after="48" w:line="283" w:lineRule="auto"/>
        <w:keepLines w:val="1"/>
      </w:pPr>
      <w:r>
        <w:rPr>
          <w:b w:val="0"/>
          <w:i w:val="0"/>
          <w:sz w:val="22"/>
        </w:rPr>
        <w:t>—  generic office B-roll;        —  org-chart animation;</w:t>
      </w:r>
    </w:p>
    <w:p>
      <w:pPr>
        <w:spacing w:before="0" w:after="48" w:line="283" w:lineRule="auto"/>
        <w:keepLines w:val="1"/>
      </w:pPr>
      <w:r>
        <w:rPr>
          <w:b w:val="0"/>
          <w:i w:val="0"/>
          <w:sz w:val="22"/>
        </w:rPr>
        <w:t>—  transfer arrows;        —  employer logos;        —  résumé graphics;</w:t>
      </w:r>
    </w:p>
    <w:p>
      <w:pPr>
        <w:spacing w:before="0" w:after="48" w:line="283" w:lineRule="auto"/>
        <w:keepLines w:val="1"/>
      </w:pPr>
      <w:r>
        <w:rPr>
          <w:b w:val="0"/>
          <w:i w:val="0"/>
          <w:sz w:val="22"/>
        </w:rPr>
        <w:t>—  fake promotion visuals;        —  constant zooms;</w:t>
      </w:r>
    </w:p>
    <w:p>
      <w:pPr>
        <w:spacing w:before="0" w:after="48" w:line="283" w:lineRule="auto"/>
        <w:keepLines w:val="1"/>
      </w:pPr>
      <w:r>
        <w:rPr>
          <w:b w:val="0"/>
          <w:i w:val="0"/>
          <w:sz w:val="22"/>
        </w:rPr>
        <w:t>—  red warning graphics;        —  fake shock expressions;</w:t>
      </w:r>
    </w:p>
    <w:p>
      <w:pPr>
        <w:spacing w:before="0" w:after="48" w:line="283" w:lineRule="auto"/>
        <w:keepLines w:val="1"/>
      </w:pPr>
      <w:r>
        <w:rPr>
          <w:b w:val="0"/>
          <w:i w:val="0"/>
          <w:sz w:val="22"/>
        </w:rPr>
        <w:t>—  AI-generated scenery;        —  social-media template effects.</w:t>
      </w:r>
    </w:p>
    <w:p>
      <w:pPr>
        <w:spacing w:before="224" w:after="128" w:line="283" w:lineRule="auto"/>
        <w:keepLines w:val="1"/>
        <w:keepNext w:val="1"/>
      </w:pPr>
      <w:r>
        <w:rPr>
          <w:b/>
          <w:i w:val="0"/>
          <w:color w:val="0F2346"/>
          <w:sz w:val="28"/>
        </w:rPr>
        <w:t>Safety and decision boundary</w:t>
      </w:r>
    </w:p>
    <w:p>
      <w:pPr>
        <w:spacing w:before="0" w:after="96" w:line="283" w:lineRule="auto"/>
      </w:pPr>
      <w:r>
        <w:rPr>
          <w:b w:val="0"/>
          <w:i w:val="0"/>
          <w:sz w:val="22"/>
        </w:rPr>
        <w:t>Preserve the script's explicit acknowledgment that:</w:t>
      </w:r>
    </w:p>
    <w:p>
      <w:pPr>
        <w:spacing w:before="0" w:after="64" w:line="283" w:lineRule="auto"/>
        <w:keepLines w:val="1"/>
      </w:pPr>
      <w:r>
        <w:rPr>
          <w:b w:val="0"/>
          <w:i w:val="0"/>
          <w:sz w:val="22"/>
        </w:rPr>
        <w:t>—  a lower-formation move may still be right for pay, flexibility, benefits, stability or manager fit;</w:t>
      </w:r>
    </w:p>
    <w:p>
      <w:pPr>
        <w:spacing w:before="0" w:after="64" w:line="283" w:lineRule="auto"/>
        <w:keepLines w:val="1"/>
      </w:pPr>
      <w:r>
        <w:rPr>
          <w:b w:val="0"/>
          <w:i w:val="0"/>
          <w:sz w:val="22"/>
        </w:rPr>
        <w:t>—  health and safety take priority;</w:t>
      </w:r>
    </w:p>
    <w:p>
      <w:pPr>
        <w:spacing w:before="0" w:after="64" w:line="283" w:lineRule="auto"/>
        <w:keepLines w:val="1"/>
      </w:pPr>
      <w:r>
        <w:rPr>
          <w:b w:val="0"/>
          <w:i w:val="0"/>
          <w:sz w:val="22"/>
        </w:rPr>
        <w:t>—  harassment or discrimination is not a situation to optimise around before seeking appropriate support;</w:t>
      </w:r>
    </w:p>
    <w:p>
      <w:pPr>
        <w:spacing w:before="0" w:after="64" w:line="283" w:lineRule="auto"/>
        <w:keepLines w:val="1"/>
      </w:pPr>
      <w:r>
        <w:rPr>
          <w:b w:val="0"/>
          <w:i w:val="0"/>
          <w:sz w:val="22"/>
        </w:rPr>
        <w:t>—  caregiving, immigration status, location, energy and timing may change the decision.</w:t>
      </w:r>
    </w:p>
    <w:p>
      <w:pPr>
        <w:spacing w:before="224" w:after="128" w:line="283" w:lineRule="auto"/>
        <w:keepLines w:val="1"/>
        <w:keepNext w:val="1"/>
      </w:pPr>
      <w:r>
        <w:rPr>
          <w:b/>
          <w:i w:val="0"/>
          <w:color w:val="0F2346"/>
          <w:sz w:val="28"/>
        </w:rPr>
        <w:t>CTA and watch next</w:t>
      </w:r>
    </w:p>
    <w:p>
      <w:pPr>
        <w:spacing w:before="0" w:after="80" w:line="283" w:lineRule="auto"/>
        <w:keepLines w:val="1"/>
      </w:pPr>
      <w:r>
        <w:rPr>
          <w:b w:val="0"/>
          <w:i w:val="0"/>
          <w:sz w:val="22"/>
        </w:rPr>
        <w:t>One product or resource CTA only: Career Decision Evidence Check — https://temidayoafonja.com/career-decisions</w:t>
      </w:r>
    </w:p>
    <w:p>
      <w:pPr>
        <w:spacing w:before="0" w:after="96" w:line="283" w:lineRule="auto"/>
        <w:keepLines w:val="1"/>
      </w:pPr>
      <w:r>
        <w:rPr>
          <w:b/>
          <w:i w:val="0"/>
          <w:sz w:val="22"/>
        </w:rPr>
        <w:t>Do not add the Capability Formation Field Kit or Keep the Proof.</w:t>
      </w:r>
    </w:p>
    <w:p>
      <w:pPr>
        <w:spacing w:before="0" w:after="128" w:line="283" w:lineRule="auto"/>
        <w:keepLines w:val="1"/>
      </w:pPr>
      <w:r>
        <w:rPr>
          <w:b/>
          <w:i w:val="0"/>
          <w:color w:val="0F2346"/>
          <w:sz w:val="22"/>
        </w:rPr>
        <w:t>The production gate is satisfied.</w:t>
      </w:r>
    </w:p>
    <w:p>
      <w:pPr>
        <w:spacing w:before="0" w:after="80" w:line="283" w:lineRule="auto"/>
        <w:keepLines w:val="1"/>
      </w:pPr>
      <w:r>
        <w:rPr>
          <w:b/>
          <w:i w:val="0"/>
          <w:sz w:val="22"/>
        </w:rPr>
        <w:t>Watch next: Are You Growing—or Just Being Given More Work?</w:t>
      </w:r>
    </w:p>
    <w:p>
      <w:pPr>
        <w:spacing w:before="0" w:after="64" w:line="283" w:lineRule="auto"/>
        <w:keepLines w:val="1"/>
      </w:pPr>
      <w:r>
        <w:rPr>
          <w:b w:val="0"/>
          <w:i w:val="0"/>
          <w:sz w:val="22"/>
        </w:rPr>
        <w:t>—  use direct Video 6 end-screen routing once Video 6 is public;</w:t>
      </w:r>
    </w:p>
    <w:p>
      <w:pPr>
        <w:spacing w:before="0" w:after="64" w:line="283" w:lineRule="auto"/>
        <w:keepLines w:val="1"/>
      </w:pPr>
      <w:r>
        <w:rPr>
          <w:b w:val="0"/>
          <w:i w:val="0"/>
          <w:sz w:val="22"/>
        </w:rPr>
        <w:t>—  before Video 6 is public, use the Career Portability playlist if it is functioning;</w:t>
      </w:r>
    </w:p>
    <w:p>
      <w:pPr>
        <w:spacing w:before="0" w:after="64" w:line="283" w:lineRule="auto"/>
        <w:keepLines w:val="1"/>
      </w:pPr>
      <w:r>
        <w:rPr>
          <w:b w:val="0"/>
          <w:i w:val="0"/>
          <w:sz w:val="22"/>
        </w:rPr>
        <w:t>—  otherwise use an appropriate currently public video or YouTube's best-for-viewer option temporarily.</w:t>
      </w:r>
    </w:p>
    <w:p>
      <w:pPr>
        <w:spacing w:before="64" w:after="128" w:line="283" w:lineRule="auto"/>
        <w:keepLines w:val="1"/>
      </w:pPr>
      <w:r>
        <w:rPr>
          <w:b/>
          <w:i w:val="0"/>
          <w:color w:val="9B2C10"/>
          <w:sz w:val="22"/>
        </w:rPr>
        <w:t>Do not leave Subscribe as the only end-screen element.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