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“You may not need to leave your company.”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may not need to leave your company.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may need access to different work inside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good internal move can give you a different problem, function, customer or level of responsibility without making you surrender all of the context and credibility you have already built.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movement is not automatically growth.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Before you move internally, ask: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Will the work actually change?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Because a new title with the same problems may move you on the org chart without increasing what you can carry next.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