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" w:line="283" w:lineRule="auto"/>
      </w:pPr>
      <w:r>
        <w:rPr>
          <w:b/>
          <w:i w:val="0"/>
          <w:color w:val="9B2C10"/>
          <w:sz w:val="44"/>
        </w:rPr>
        <w:t>EDITOR ONLY</w:t>
      </w:r>
    </w:p>
    <w:p>
      <w:pPr>
        <w:spacing w:before="0" w:after="100" w:line="264" w:lineRule="auto"/>
      </w:pPr>
      <w:r>
        <w:rPr>
          <w:b/>
          <w:i w:val="0"/>
          <w:color w:val="0F2346"/>
          <w:sz w:val="36"/>
        </w:rPr>
        <w:t>VIDEO 5 — FOUR STANDALONE SHORTS</w:t>
      </w:r>
    </w:p>
    <w:p>
      <w:pPr>
        <w:spacing w:before="0" w:after="198" w:line="283" w:lineRule="auto"/>
        <w:shd w:val="clear" w:fill="F3F0E8"/>
      </w:pPr>
      <w:r>
        <w:rPr>
          <w:b w:val="0"/>
          <w:i/>
          <w:color w:val="5A6B82"/>
          <w:sz w:val="22"/>
        </w:rPr>
        <w:t>This document is for the editor. It is separate from the four Short recording documents and must not be placed on Temidayo's recording screen.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How these are produced</w:t>
      </w:r>
    </w:p>
    <w:p>
      <w:pPr>
        <w:spacing w:before="0" w:after="124" w:line="283" w:lineRule="auto"/>
        <w:keepLines w:val="1"/>
      </w:pPr>
      <w:r>
        <w:rPr>
          <w:b/>
          <w:i w:val="0"/>
          <w:sz w:val="22"/>
        </w:rPr>
        <w:t>These are separately recorded 9:16 Shorts. They are NOT excerpts cut from the long-form video.</w:t>
      </w:r>
    </w:p>
    <w:p>
      <w:pPr>
        <w:spacing w:before="0" w:after="74" w:line="283" w:lineRule="auto"/>
      </w:pPr>
      <w:r>
        <w:rPr>
          <w:b w:val="0"/>
          <w:i w:val="0"/>
          <w:sz w:val="22"/>
        </w:rPr>
        <w:t>Each Short needs:</w:t>
      </w:r>
    </w:p>
    <w:p>
      <w:pPr>
        <w:spacing w:before="0" w:after="50" w:line="283" w:lineRule="auto"/>
        <w:keepLines w:val="1"/>
      </w:pPr>
      <w:r>
        <w:rPr>
          <w:b w:val="0"/>
          <w:i w:val="0"/>
          <w:sz w:val="22"/>
        </w:rPr>
        <w:t>—  an immediate verbal hook;        —  a corresponding on-screen hook;</w:t>
      </w:r>
    </w:p>
    <w:p>
      <w:pPr>
        <w:spacing w:before="0" w:after="50" w:line="283" w:lineRule="auto"/>
        <w:keepLines w:val="1"/>
      </w:pPr>
      <w:r>
        <w:rPr>
          <w:b w:val="0"/>
          <w:i w:val="0"/>
          <w:sz w:val="22"/>
        </w:rPr>
        <w:t>—  meaningful visual movement;        —  accurate mobile-safe captions;</w:t>
      </w:r>
    </w:p>
    <w:p>
      <w:pPr>
        <w:spacing w:before="0" w:after="50" w:line="283" w:lineRule="auto"/>
        <w:keepLines w:val="1"/>
      </w:pPr>
      <w:r>
        <w:rPr>
          <w:b w:val="0"/>
          <w:i w:val="0"/>
          <w:sz w:val="22"/>
        </w:rPr>
        <w:t>—  restrained editorial pacing;</w:t>
      </w:r>
    </w:p>
    <w:p>
      <w:pPr>
        <w:spacing w:before="0" w:after="50" w:line="283" w:lineRule="auto"/>
        <w:keepLines w:val="1"/>
      </w:pPr>
      <w:r>
        <w:rPr>
          <w:b w:val="0"/>
          <w:i w:val="0"/>
          <w:sz w:val="22"/>
        </w:rPr>
        <w:t>—  Video 5 added as the Related Video when available.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1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YOU MAY NOT NEED TO LEAVE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Visual:  SAME COMPANY  →  DIFFERENT WORK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End on:  WILL THE WORK CHANGE?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5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2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MORE TASKS ≠ MORE JUDGMENT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Use a restrained two-column contrast:  MORE TASKS  vs  MORE JUDGMENT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No generic office B-roll.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End on:  WHAT WILL YOU BE TRUSTED TO DECIDE?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5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3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Proof / personal evidence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MORE SCOPE ≠ AUTOMATIC GROWTH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FACTUAL BOUNDARY: do not add an employer, role, assignment, metric or unsupported result. Do not imply the scope expansion itself proves growth.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End on:  WHAT ARE YOU BECOMING TRUSTED TO DO?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5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4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3 QUESTIONS BEFORE YOU MOVE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Reveal progressively: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WILL THE WORK CHANGE?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WILL YOUR JUDGMENT EXPAND?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WILL THE EVIDENCE TRAVEL?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Then show the 3 / 2 / 0–1 read in a restrained way. Do not turn it into a gamified scorecard.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5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All Shorts — visual boundaries</w:t>
      </w:r>
    </w:p>
    <w:p>
      <w:pPr>
        <w:spacing w:before="0" w:after="62" w:line="283" w:lineRule="auto"/>
      </w:pPr>
      <w:r>
        <w:rPr>
          <w:b w:val="0"/>
          <w:i w:val="0"/>
          <w:sz w:val="22"/>
        </w:rPr>
        <w:t>Do not use: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org-chart animations;        —  transfer-arrow clichés;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employer logos;        —  generic office B-roll;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flashy transitions;        —  constant zooms;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fake shock expressions;        —  red warning graphics;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AI-generated scenery;        —  social-media template effects.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