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12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Four private lines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What to Do When You Can’t Quit Your Job Yet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Check: https://temidayoafonja.com/career-decisions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Write these privately. Nobody else needs to read them.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What must hold for now? Finish the sentence: for now, any change needs to protect...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What part of the current situation can I influence safely? Describe one recurring cost concretely.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What one question would make the next option clearer?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When will I review this again? Use a date or a real condition.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If capacity is very limited, keep only the first line and the review point.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If health, safety, harassment or discrimination is involved, appropriate support comes first.</w:t>
      </w:r>
    </w:p>
    <w:p>
      <w:pPr>
        <w:spacing w:after="80" w:line="278" w:lineRule="auto"/>
        <w:ind w:left="547" w:hanging="230"/>
      </w:pPr>
      <w:r>
        <w:rPr>
          <w:sz w:val="21"/>
        </w:rPr>
        <w:t>•   This exercise cannot interpret an employment agreement, benefits, immigration rules or a health decision.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12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