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13</w:t>
      </w:r>
    </w:p>
    <w:p>
      <w:pPr>
        <w:spacing w:before="0" w:after="80"/>
      </w:pPr>
      <w:r>
        <w:rPr>
          <w:b/>
          <w:i w:val="0"/>
          <w:color w:val="112345"/>
          <w:sz w:val="42"/>
        </w:rPr>
        <w:t>Recording Run of Show</w:t>
      </w:r>
    </w:p>
    <w:p>
      <w:pPr>
        <w:spacing w:before="0" w:after="280"/>
      </w:pPr>
      <w:r>
        <w:rPr>
          <w:b w:val="0"/>
          <w:i w:val="0"/>
          <w:color w:val="5A6B82"/>
          <w:sz w:val="20"/>
        </w:rPr>
        <w:t>A 30-Day Plan to Test Your Next Career Move</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Video_13_FINAL_Story_Led_Conversational_Recording_Script.docx  ·  SHA-256 e103ebb6977362de1675f88b9321a1f5d597cf4a293cb26c3c76cd5cc73ecd7f</w:t>
      </w:r>
    </w:p>
    <w:p>
      <w:pPr>
        <w:spacing w:after="80"/>
      </w:pPr>
      <w:r>
        <w:rPr>
          <w:b/>
          <w:color w:val="8A6D1E"/>
          <w:sz w:val="20"/>
        </w:rPr>
        <w:t xml:space="preserve">Recording copy  </w:t>
      </w:r>
      <w:r>
        <w:rPr>
          <w:sz w:val="21"/>
        </w:rPr>
        <w:t>Video_13_Thought_Block_Recording_Copy_Story_Led.docx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9:29 to 10:35 at 130 to 145 words per minute, from 1377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Stop collecting career activity</w:t>
            </w:r>
          </w:p>
        </w:tc>
        <w:tc>
          <w:tcPr>
            <w:tcW w:type="dxa" w:w="1728"/>
          </w:tcPr>
          <w:p>
            <w:pPr>
              <w:spacing w:before="60" w:after="60" w:line="264" w:lineRule="auto"/>
            </w:pPr>
            <w:r/>
            <w:r>
              <w:rPr>
                <w:b w:val="0"/>
                <w:i w:val="0"/>
                <w:sz w:val="18"/>
              </w:rPr>
              <w:t>207</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SETUP | One destination, one hypothesis</w:t>
            </w:r>
          </w:p>
        </w:tc>
        <w:tc>
          <w:tcPr>
            <w:tcW w:type="dxa" w:w="1728"/>
          </w:tcPr>
          <w:p>
            <w:pPr>
              <w:spacing w:before="60" w:after="60" w:line="264" w:lineRule="auto"/>
            </w:pPr>
            <w:r/>
            <w:r>
              <w:rPr>
                <w:b w:val="0"/>
                <w:i w:val="0"/>
                <w:sz w:val="18"/>
              </w:rPr>
              <w:t>197</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DAYS 1–7 | Define the work and the gaps</w:t>
            </w:r>
          </w:p>
        </w:tc>
        <w:tc>
          <w:tcPr>
            <w:tcW w:type="dxa" w:w="1728"/>
          </w:tcPr>
          <w:p>
            <w:pPr>
              <w:spacing w:before="60" w:after="60" w:line="264" w:lineRule="auto"/>
            </w:pPr>
            <w:r/>
            <w:r>
              <w:rPr>
                <w:b w:val="0"/>
                <w:i w:val="0"/>
                <w:sz w:val="18"/>
              </w:rPr>
              <w:t>181</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DAYS 8–14 | Investigate with people who know the work</w:t>
            </w:r>
          </w:p>
        </w:tc>
        <w:tc>
          <w:tcPr>
            <w:tcW w:type="dxa" w:w="1728"/>
          </w:tcPr>
          <w:p>
            <w:pPr>
              <w:spacing w:before="60" w:after="60" w:line="264" w:lineRule="auto"/>
            </w:pPr>
            <w:r/>
            <w:r>
              <w:rPr>
                <w:b w:val="0"/>
                <w:i w:val="0"/>
                <w:sz w:val="18"/>
              </w:rPr>
              <w:t>138</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DAYS 15–21 | Try one bounded piece</w:t>
            </w:r>
          </w:p>
        </w:tc>
        <w:tc>
          <w:tcPr>
            <w:tcW w:type="dxa" w:w="1728"/>
          </w:tcPr>
          <w:p>
            <w:pPr>
              <w:spacing w:before="60" w:after="60" w:line="264" w:lineRule="auto"/>
            </w:pPr>
            <w:r/>
            <w:r>
              <w:rPr>
                <w:b w:val="0"/>
                <w:i w:val="0"/>
                <w:sz w:val="18"/>
              </w:rPr>
              <w:t>222</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DAYS 22–30 | Decide from the evidence</w:t>
            </w:r>
          </w:p>
        </w:tc>
        <w:tc>
          <w:tcPr>
            <w:tcW w:type="dxa" w:w="1728"/>
          </w:tcPr>
          <w:p>
            <w:pPr>
              <w:spacing w:before="60" w:after="60" w:line="264" w:lineRule="auto"/>
            </w:pPr>
            <w:r/>
            <w:r>
              <w:rPr>
                <w:b w:val="0"/>
                <w:i w:val="0"/>
                <w:sz w:val="18"/>
              </w:rPr>
              <w:t>179</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THE EVIDENCE STANDARD | What the month can prove</w:t>
            </w:r>
          </w:p>
        </w:tc>
        <w:tc>
          <w:tcPr>
            <w:tcW w:type="dxa" w:w="1728"/>
          </w:tcPr>
          <w:p>
            <w:pPr>
              <w:spacing w:before="60" w:after="60" w:line="264" w:lineRule="auto"/>
            </w:pPr>
            <w:r/>
            <w:r>
              <w:rPr>
                <w:b w:val="0"/>
                <w:i w:val="0"/>
                <w:sz w:val="18"/>
              </w:rPr>
              <w:t>135</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78</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40</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13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