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 |  VIDEO 13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Publishing Materials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A 30-Day Plan to Test Your Next Career Move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Sunday, September 13, 2026 | 3:52 PM CT</w:t>
      </w:r>
    </w:p>
    <w:p>
      <w:pPr>
        <w:spacing w:after="80"/>
      </w:pPr>
      <w:r>
        <w:rPr>
          <w:b/>
          <w:color w:val="8A6D1E"/>
          <w:sz w:val="20"/>
        </w:rPr>
        <w:t xml:space="preserve">Spoken source  </w:t>
      </w:r>
      <w:r>
        <w:rPr>
          <w:sz w:val="21"/>
        </w:rPr>
        <w:t>Video_13_FINAL_Story_Led_Conversational_Recording_Script.docx  ·  SHA-256 e103ebb6977362de1675f88b9321a1f5d597cf4a293cb26c3c76cd5cc73ecd7f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Title and thumbnail wording are taken from the story-led script header. No URL, chapter timestamp, music credit or performance claim is invented anywhere in this document.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YOUTUBE TITLE</w:t>
      </w:r>
    </w:p>
    <w:p>
      <w:pPr>
        <w:spacing w:before="0" w:after="160"/>
      </w:pPr>
      <w:r>
        <w:rPr>
          <w:b/>
          <w:i w:val="0"/>
          <w:color w:val="112345"/>
          <w:sz w:val="26"/>
        </w:rPr>
        <w:t>A 30-Day Plan to Test Your Next Career Move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THUMBNAIL TEXT</w:t>
      </w:r>
    </w:p>
    <w:p>
      <w:pPr>
        <w:spacing w:before="0" w:after="160"/>
      </w:pPr>
      <w:r>
        <w:rPr>
          <w:b/>
          <w:i w:val="0"/>
          <w:color w:val="112345"/>
          <w:sz w:val="26"/>
        </w:rPr>
        <w:t>TEST BEFORE YOU QUIT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DESCRIPTION</w:t>
      </w:r>
    </w:p>
    <w:p>
      <w:pPr>
        <w:spacing w:before="0" w:after="160"/>
      </w:pPr>
      <w:r>
        <w:rPr>
          <w:b w:val="0"/>
          <w:i w:val="0"/>
          <w:sz w:val="22"/>
        </w:rPr>
        <w:t>You have saved the jobs, rewritten the headline, maybe started a course, and you still do not know whether you want the work you are preparing for.</w:t>
      </w:r>
    </w:p>
    <w:p>
      <w:pPr>
        <w:spacing w:before="0" w:after="160"/>
      </w:pPr>
      <w:r>
        <w:rPr>
          <w:b w:val="0"/>
          <w:i w:val="0"/>
          <w:sz w:val="22"/>
        </w:rPr>
        <w:t>This video gives you a thirty-day test for one destination. Define, Investigate, Try, Decide.</w:t>
      </w:r>
    </w:p>
    <w:p>
      <w:pPr>
        <w:spacing w:before="0" w:after="160"/>
      </w:pPr>
      <w:r>
        <w:rPr>
          <w:b w:val="0"/>
          <w:i w:val="0"/>
          <w:sz w:val="22"/>
        </w:rPr>
        <w:t>The test only works if not this option is allowed to be a good result. At the end you continue, modify, or stop, on evidence rather than on the effort you spent.</w:t>
      </w:r>
    </w:p>
    <w:p>
      <w:pPr>
        <w:spacing w:before="0" w:after="160"/>
      </w:pPr>
      <w:r>
        <w:rPr>
          <w:b w:val="0"/>
          <w:i w:val="0"/>
          <w:sz w:val="22"/>
        </w:rPr>
        <w:t>It cannot validate every part of your career, overcome employer bias, guarantee access, or remove a real qualification gap.</w:t>
      </w:r>
    </w:p>
    <w:p>
      <w:pPr>
        <w:spacing w:before="200" w:after="80"/>
      </w:pPr>
      <w:r>
        <w:rPr>
          <w:b/>
          <w:i w:val="0"/>
          <w:color w:val="8A6D1E"/>
          <w:sz w:val="18"/>
        </w:rPr>
        <w:t>RESOURCE LINE, paste as the last block:</w:t>
      </w:r>
    </w:p>
    <w:p>
      <w:pPr>
        <w:spacing w:before="0" w:after="160"/>
      </w:pPr>
      <w:r>
        <w:rPr>
          <w:b/>
          <w:i w:val="0"/>
          <w:sz w:val="22"/>
        </w:rPr>
        <w:t>Capability Formation Field Kit: https://temidayoafonja.com/fieldkit</w:t>
      </w:r>
    </w:p>
    <w:p>
      <w:pPr>
        <w:spacing w:before="0" w:after="160"/>
      </w:pPr>
      <w:r>
        <w:rPr>
          <w:b w:val="0"/>
          <w:i w:val="0"/>
          <w:color w:val="5A6B82"/>
          <w:sz w:val="20"/>
        </w:rPr>
        <w:t>WATCH NEXT LINE: Video 9: How to Change Industries Without Starting Over</w:t>
      </w:r>
    </w:p>
    <w:p>
      <w:pPr>
        <w:spacing w:before="0" w:after="160"/>
      </w:pPr>
      <w:r>
        <w:rPr>
          <w:b w:val="0"/>
          <w:i w:val="0"/>
          <w:color w:val="9B2C10"/>
          <w:sz w:val="20"/>
        </w:rPr>
        <w:t>[PLACEHOLDER] Insert the Watch Next URL after that video is published. Do not invent a URL.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PINNED COMMENT</w:t>
      </w:r>
    </w:p>
    <w:p>
      <w:pPr>
        <w:spacing w:before="0" w:after="160"/>
      </w:pPr>
      <w:r>
        <w:rPr>
          <w:b w:val="0"/>
          <w:i w:val="0"/>
          <w:sz w:val="22"/>
        </w:rPr>
        <w:t>Choose one destination and write the hypothesis before you add another course.</w:t>
        <w:br/>
        <w:t>Define. Investigate. Try. Decide.</w:t>
      </w:r>
    </w:p>
    <w:p>
      <w:pPr>
        <w:spacing w:before="0" w:after="160"/>
      </w:pPr>
      <w:r>
        <w:rPr>
          <w:b w:val="0"/>
          <w:i w:val="0"/>
          <w:sz w:val="22"/>
        </w:rPr>
        <w:t>And let not this option be a good result. If the month ends without enough evidence, call it inconclusive rather than turning uncertainty into a yes.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TAGS</w:t>
      </w:r>
    </w:p>
    <w:p>
      <w:pPr>
        <w:spacing w:before="0" w:after="160"/>
      </w:pPr>
      <w:r>
        <w:rPr>
          <w:b w:val="0"/>
          <w:i w:val="0"/>
          <w:sz w:val="22"/>
        </w:rPr>
        <w:t>test a career change, 30 day plan, career experiment, career decision, career pivot, experienced professionals, job research, career planning, before you quit, mid career, career strategy, career test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HASHTAGS</w:t>
      </w:r>
    </w:p>
    <w:p>
      <w:pPr>
        <w:spacing w:before="0" w:after="160"/>
      </w:pPr>
      <w:r>
        <w:rPr>
          <w:b/>
          <w:i w:val="0"/>
          <w:sz w:val="24"/>
        </w:rPr>
        <w:t>#CareerChange  #CareerPlanning  #CapabilityFormation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RESOURCE ROUTE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rPr>
          <w:tblHeader w:val="true"/>
        </w:trPr>
        <w:tc>
          <w:tcPr>
            <w:tcW w:type="dxa" w:w="273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RESOURCE</w:t>
            </w:r>
          </w:p>
        </w:tc>
        <w:tc>
          <w:tcPr>
            <w:tcW w:type="dxa" w:w="302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WHERE IT LIVES</w:t>
            </w:r>
          </w:p>
        </w:tc>
        <w:tc>
          <w:tcPr>
            <w:tcW w:type="dxa" w:w="3888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HOW IT IS USED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Capability Formation Field Kit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temidayoafonja.com/fieldkit</w:t>
            </w:r>
          </w:p>
        </w:tc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Spoken once, after the teaching. One primary CTA. No second offer is added.</w:t>
            </w:r>
          </w:p>
        </w:tc>
      </w:tr>
    </w:tbl>
    <w:p>
      <w:pPr>
        <w:spacing w:after="120"/>
      </w:pP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WATCH NEXT AND PLAYLIST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194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FIELD</w:t>
            </w:r>
          </w:p>
        </w:tc>
        <w:tc>
          <w:tcPr>
            <w:tcW w:type="dxa" w:w="770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VALUE</w:t>
            </w:r>
          </w:p>
        </w:tc>
      </w:tr>
      <w:tr>
        <w:tc>
          <w:tcPr>
            <w:tcW w:type="dxa" w:w="19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Watch Next</w:t>
            </w:r>
          </w:p>
        </w:tc>
        <w:tc>
          <w:tcPr>
            <w:tcW w:type="dxa" w:w="77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Video 9: How to Change Industries Without Starting Over</w:t>
            </w:r>
          </w:p>
        </w:tc>
      </w:tr>
      <w:tr>
        <w:tc>
          <w:tcPr>
            <w:tcW w:type="dxa" w:w="19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Where that comes from</w:t>
            </w:r>
          </w:p>
        </w:tc>
        <w:tc>
          <w:tcPr>
            <w:tcW w:type="dxa" w:w="77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the Watch Next card in the production deck</w:t>
            </w:r>
          </w:p>
        </w:tc>
      </w:tr>
      <w:tr>
        <w:tc>
          <w:tcPr>
            <w:tcW w:type="dxa" w:w="19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Playlist</w:t>
            </w:r>
          </w:p>
        </w:tc>
        <w:tc>
          <w:tcPr>
            <w:tcW w:type="dxa" w:w="77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Capability Formation: career pivots and internal moves</w:t>
            </w:r>
          </w:p>
        </w:tc>
      </w:tr>
      <w:tr>
        <w:tc>
          <w:tcPr>
            <w:tcW w:type="dxa" w:w="19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End screen</w:t>
            </w:r>
          </w:p>
        </w:tc>
        <w:tc>
          <w:tcPr>
            <w:tcW w:type="dxa" w:w="77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Watch Next is the final full-screen visual. Copy sits left so an end screen can sit right. No return to camera afterward.</w:t>
            </w:r>
          </w:p>
        </w:tc>
      </w:tr>
    </w:tbl>
    <w:p>
      <w:pPr>
        <w:spacing w:after="120"/>
      </w:pP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PUBLICATION CHECKLIST</w:t>
      </w:r>
    </w:p>
    <w:p>
      <w:pPr>
        <w:spacing w:after="100" w:line="278" w:lineRule="auto"/>
        <w:ind w:left="490" w:hanging="490"/>
      </w:pPr>
      <w:r>
        <w:rPr>
          <w:b/>
          <w:sz w:val="21"/>
        </w:rPr>
        <w:t xml:space="preserve">1.   </w:t>
      </w:r>
      <w:r>
        <w:rPr>
          <w:sz w:val="21"/>
        </w:rPr>
        <w:t>Thumbnail artwork approved separately, checked at 200 px wide. Artwork is NOT rebuilt by this pass.</w:t>
      </w:r>
    </w:p>
    <w:p>
      <w:pPr>
        <w:spacing w:after="100" w:line="278" w:lineRule="auto"/>
        <w:ind w:left="490" w:hanging="490"/>
      </w:pPr>
      <w:r>
        <w:rPr>
          <w:b/>
          <w:sz w:val="21"/>
        </w:rPr>
        <w:t xml:space="preserve">2.   </w:t>
      </w:r>
      <w:r>
        <w:rPr>
          <w:sz w:val="21"/>
        </w:rPr>
        <w:t>Title and thumbnail wording match the story-led script header.</w:t>
      </w:r>
    </w:p>
    <w:p>
      <w:pPr>
        <w:spacing w:after="100" w:line="278" w:lineRule="auto"/>
        <w:ind w:left="490" w:hanging="490"/>
      </w:pPr>
      <w:r>
        <w:rPr>
          <w:b/>
          <w:sz w:val="21"/>
        </w:rPr>
        <w:t xml:space="preserve">3.   </w:t>
      </w:r>
      <w:r>
        <w:rPr>
          <w:sz w:val="21"/>
        </w:rPr>
        <w:t>Description resource link tested while signed out.</w:t>
      </w:r>
    </w:p>
    <w:p>
      <w:pPr>
        <w:spacing w:after="100" w:line="278" w:lineRule="auto"/>
        <w:ind w:left="490" w:hanging="490"/>
      </w:pPr>
      <w:r>
        <w:rPr>
          <w:b/>
          <w:sz w:val="21"/>
        </w:rPr>
        <w:t xml:space="preserve">4.   </w:t>
      </w:r>
      <w:r>
        <w:rPr>
          <w:sz w:val="21"/>
        </w:rPr>
        <w:t>Watch Next URL inserted once that video is published. Not before.</w:t>
      </w:r>
    </w:p>
    <w:p>
      <w:pPr>
        <w:spacing w:after="100" w:line="278" w:lineRule="auto"/>
        <w:ind w:left="490" w:hanging="490"/>
      </w:pPr>
      <w:r>
        <w:rPr>
          <w:b/>
          <w:sz w:val="21"/>
        </w:rPr>
        <w:t xml:space="preserve">5.   </w:t>
      </w:r>
      <w:r>
        <w:rPr>
          <w:sz w:val="21"/>
        </w:rPr>
        <w:t>Captions: no burned-in subtitles. SRT from the final edited timeline.</w:t>
      </w:r>
    </w:p>
    <w:p>
      <w:pPr>
        <w:spacing w:after="100" w:line="278" w:lineRule="auto"/>
        <w:ind w:left="490" w:hanging="490"/>
      </w:pPr>
      <w:r>
        <w:rPr>
          <w:b/>
          <w:sz w:val="21"/>
        </w:rPr>
        <w:t xml:space="preserve">6.   </w:t>
      </w:r>
      <w:r>
        <w:rPr>
          <w:sz w:val="21"/>
        </w:rPr>
        <w:t>Chapters written from the actual final export. None exist yet.</w:t>
      </w:r>
    </w:p>
    <w:p>
      <w:pPr>
        <w:spacing w:after="100" w:line="278" w:lineRule="auto"/>
        <w:ind w:left="490" w:hanging="490"/>
      </w:pPr>
      <w:r>
        <w:rPr>
          <w:b/>
          <w:sz w:val="21"/>
        </w:rPr>
        <w:t xml:space="preserve">7.   </w:t>
      </w:r>
      <w:r>
        <w:rPr>
          <w:sz w:val="21"/>
        </w:rPr>
        <w:t>Music attribution from the actual track used. None is recorded here.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Video 13 publishing materials  |  story-led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