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14</w:t>
      </w:r>
    </w:p>
    <w:p>
      <w:pPr>
        <w:spacing w:before="0" w:after="80"/>
      </w:pPr>
      <w:r>
        <w:rPr>
          <w:b/>
          <w:i w:val="0"/>
          <w:color w:val="112345"/>
          <w:sz w:val="42"/>
        </w:rPr>
        <w:t>Recording Run of Show</w:t>
      </w:r>
    </w:p>
    <w:p>
      <w:pPr>
        <w:spacing w:before="0" w:after="280"/>
      </w:pPr>
      <w:r>
        <w:rPr>
          <w:b w:val="0"/>
          <w:i w:val="0"/>
          <w:color w:val="5A6B82"/>
          <w:sz w:val="20"/>
        </w:rPr>
        <w:t>Which Parts of Your Experience Actually Transfer to Another Industry?</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Video_14_FINAL_Story_Led_Conversational_Recording_Script.docx  ·  SHA-256 1e2f735018d24ee4ccc7a680379b48714bd990b329fdbd94d1d10b1b9b053c3f</w:t>
      </w:r>
    </w:p>
    <w:p>
      <w:pPr>
        <w:spacing w:after="80"/>
      </w:pPr>
      <w:r>
        <w:rPr>
          <w:b/>
          <w:color w:val="8A6D1E"/>
          <w:sz w:val="20"/>
        </w:rPr>
        <w:t xml:space="preserve">Recording copy  </w:t>
      </w:r>
      <w:r>
        <w:rPr>
          <w:sz w:val="21"/>
        </w:rPr>
        <w:t>Video_14_Thought_Block_Recording_Copy_Story_Led.docx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9:24 to 10:29 at 130 to 145 words per minute, from 1364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Same words, different work</w:t>
            </w:r>
          </w:p>
        </w:tc>
        <w:tc>
          <w:tcPr>
            <w:tcW w:type="dxa" w:w="1728"/>
          </w:tcPr>
          <w:p>
            <w:pPr>
              <w:spacing w:before="60" w:after="60" w:line="264" w:lineRule="auto"/>
            </w:pPr>
            <w:r/>
            <w:r>
              <w:rPr>
                <w:b w:val="0"/>
                <w:i w:val="0"/>
                <w:sz w:val="18"/>
              </w:rPr>
              <w:t>185</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WHAT THE RESEARCH ACTUALLY SHOWED</w:t>
            </w:r>
          </w:p>
        </w:tc>
        <w:tc>
          <w:tcPr>
            <w:tcW w:type="dxa" w:w="1728"/>
          </w:tcPr>
          <w:p>
            <w:pPr>
              <w:spacing w:before="60" w:after="60" w:line="264" w:lineRule="auto"/>
            </w:pPr>
            <w:r/>
            <w:r>
              <w:rPr>
                <w:b w:val="0"/>
                <w:i w:val="0"/>
                <w:sz w:val="18"/>
              </w:rPr>
              <w:t>104</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THE TEST | Compare the decision, not the noun</w:t>
            </w:r>
          </w:p>
        </w:tc>
        <w:tc>
          <w:tcPr>
            <w:tcW w:type="dxa" w:w="1728"/>
          </w:tcPr>
          <w:p>
            <w:pPr>
              <w:spacing w:before="60" w:after="60" w:line="264" w:lineRule="auto"/>
            </w:pPr>
            <w:r/>
            <w:r>
              <w:rPr>
                <w:b w:val="0"/>
                <w:i w:val="0"/>
                <w:sz w:val="18"/>
              </w:rPr>
              <w:t>125</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1 | WHAT TRAVELS</w:t>
            </w:r>
          </w:p>
        </w:tc>
        <w:tc>
          <w:tcPr>
            <w:tcW w:type="dxa" w:w="1728"/>
          </w:tcPr>
          <w:p>
            <w:pPr>
              <w:spacing w:before="60" w:after="60" w:line="264" w:lineRule="auto"/>
            </w:pPr>
            <w:r/>
            <w:r>
              <w:rPr>
                <w:b w:val="0"/>
                <w:i w:val="0"/>
                <w:sz w:val="18"/>
              </w:rPr>
              <w:t>173</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2 | WHAT ONLY LOOKS SIMILAR</w:t>
            </w:r>
          </w:p>
        </w:tc>
        <w:tc>
          <w:tcPr>
            <w:tcW w:type="dxa" w:w="1728"/>
          </w:tcPr>
          <w:p>
            <w:pPr>
              <w:spacing w:before="60" w:after="60" w:line="264" w:lineRule="auto"/>
            </w:pPr>
            <w:r/>
            <w:r>
              <w:rPr>
                <w:b w:val="0"/>
                <w:i w:val="0"/>
                <w:sz w:val="18"/>
              </w:rPr>
              <w:t>106</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3 | WHAT MUST BE LEARNED</w:t>
            </w:r>
          </w:p>
        </w:tc>
        <w:tc>
          <w:tcPr>
            <w:tcW w:type="dxa" w:w="1728"/>
          </w:tcPr>
          <w:p>
            <w:pPr>
              <w:spacing w:before="60" w:after="60" w:line="264" w:lineRule="auto"/>
            </w:pPr>
            <w:r/>
            <w:r>
              <w:rPr>
                <w:b w:val="0"/>
                <w:i w:val="0"/>
                <w:sz w:val="18"/>
              </w:rPr>
              <w:t>99</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4 | WHAT MUST BE EXPERIENCED</w:t>
            </w:r>
          </w:p>
        </w:tc>
        <w:tc>
          <w:tcPr>
            <w:tcW w:type="dxa" w:w="1728"/>
          </w:tcPr>
          <w:p>
            <w:pPr>
              <w:spacing w:before="60" w:after="60" w:line="264" w:lineRule="auto"/>
            </w:pPr>
            <w:r/>
            <w:r>
              <w:rPr>
                <w:b w:val="0"/>
                <w:i w:val="0"/>
                <w:sz w:val="18"/>
              </w:rPr>
              <w:t>96</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EMPLOYERS DO NOT ALL READ ADJACENT EXPERIENCE THE SAME WAY</w:t>
            </w:r>
          </w:p>
        </w:tc>
        <w:tc>
          <w:tcPr>
            <w:tcW w:type="dxa" w:w="1728"/>
          </w:tcPr>
          <w:p>
            <w:pPr>
              <w:spacing w:before="60" w:after="60" w:line="264" w:lineRule="auto"/>
            </w:pPr>
            <w:r/>
            <w:r>
              <w:rPr>
                <w:b w:val="0"/>
                <w:i w:val="0"/>
                <w:sz w:val="18"/>
              </w:rPr>
              <w:t>109</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WHAT NOT TO CLAIM</w:t>
            </w:r>
          </w:p>
        </w:tc>
        <w:tc>
          <w:tcPr>
            <w:tcW w:type="dxa" w:w="1728"/>
          </w:tcPr>
          <w:p>
            <w:pPr>
              <w:spacing w:before="60" w:after="60" w:line="264" w:lineRule="auto"/>
            </w:pPr>
            <w:r/>
            <w:r>
              <w:rPr>
                <w:b w:val="0"/>
                <w:i w:val="0"/>
                <w:sz w:val="18"/>
              </w:rPr>
              <w:t>113</w:t>
            </w:r>
          </w:p>
        </w:tc>
      </w:tr>
      <w:tr>
        <w:tc>
          <w:tcPr>
            <w:tcW w:type="dxa" w:w="576"/>
          </w:tcPr>
          <w:p>
            <w:pPr>
              <w:spacing w:before="60" w:after="60" w:line="264" w:lineRule="auto"/>
            </w:pPr>
            <w:r/>
            <w:r>
              <w:rPr>
                <w:b w:val="0"/>
                <w:i w:val="0"/>
                <w:sz w:val="18"/>
              </w:rPr>
              <w:t>10</w:t>
            </w:r>
          </w:p>
        </w:tc>
        <w:tc>
          <w:tcPr>
            <w:tcW w:type="dxa" w:w="6624"/>
          </w:tcPr>
          <w:p>
            <w:pPr>
              <w:spacing w:before="60" w:after="60" w:line="264" w:lineRule="auto"/>
            </w:pPr>
            <w:r/>
            <w:r>
              <w:rPr>
                <w:b w:val="0"/>
                <w:i w:val="0"/>
                <w:sz w:val="18"/>
              </w:rPr>
              <w:t>APPLICATION | Audit one destination role</w:t>
            </w:r>
          </w:p>
        </w:tc>
        <w:tc>
          <w:tcPr>
            <w:tcW w:type="dxa" w:w="1728"/>
          </w:tcPr>
          <w:p>
            <w:pPr>
              <w:spacing w:before="60" w:after="60" w:line="264" w:lineRule="auto"/>
            </w:pPr>
            <w:r/>
            <w:r>
              <w:rPr>
                <w:b w:val="0"/>
                <w:i w:val="0"/>
                <w:sz w:val="18"/>
              </w:rPr>
              <w:t>135</w:t>
            </w:r>
          </w:p>
        </w:tc>
      </w:tr>
      <w:tr>
        <w:tc>
          <w:tcPr>
            <w:tcW w:type="dxa" w:w="576"/>
          </w:tcPr>
          <w:p>
            <w:pPr>
              <w:spacing w:before="60" w:after="60" w:line="264" w:lineRule="auto"/>
            </w:pPr>
            <w:r/>
            <w:r>
              <w:rPr>
                <w:b w:val="0"/>
                <w:i w:val="0"/>
                <w:sz w:val="18"/>
              </w:rPr>
              <w:t>11</w:t>
            </w:r>
          </w:p>
        </w:tc>
        <w:tc>
          <w:tcPr>
            <w:tcW w:type="dxa" w:w="6624"/>
          </w:tcPr>
          <w:p>
            <w:pPr>
              <w:spacing w:before="60" w:after="60" w:line="264" w:lineRule="auto"/>
            </w:pPr>
            <w:r/>
            <w:r>
              <w:rPr>
                <w:b w:val="0"/>
                <w:i w:val="0"/>
                <w:sz w:val="18"/>
              </w:rPr>
              <w:t>CLOSE | One usable test</w:t>
            </w:r>
          </w:p>
        </w:tc>
        <w:tc>
          <w:tcPr>
            <w:tcW w:type="dxa" w:w="1728"/>
          </w:tcPr>
          <w:p>
            <w:pPr>
              <w:spacing w:before="60" w:after="60" w:line="264" w:lineRule="auto"/>
            </w:pPr>
            <w:r/>
            <w:r>
              <w:rPr>
                <w:b w:val="0"/>
                <w:i w:val="0"/>
                <w:sz w:val="18"/>
              </w:rPr>
              <w:t>119</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14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