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15</w:t>
      </w:r>
    </w:p>
    <w:p>
      <w:pPr>
        <w:spacing w:before="0" w:after="80"/>
      </w:pPr>
      <w:r>
        <w:rPr>
          <w:b/>
          <w:i w:val="0"/>
          <w:color w:val="112345"/>
          <w:sz w:val="42"/>
        </w:rPr>
        <w:t>Publishing Materials</w:t>
      </w:r>
    </w:p>
    <w:p>
      <w:pPr>
        <w:spacing w:before="0" w:after="280"/>
      </w:pPr>
      <w:r>
        <w:rPr>
          <w:b w:val="0"/>
          <w:i w:val="0"/>
          <w:color w:val="5A6B82"/>
          <w:sz w:val="20"/>
        </w:rPr>
        <w:t>The Career Gaps You Don't See Until the Work Gets Harder</w:t>
      </w:r>
    </w:p>
    <w:p>
      <w:pPr>
        <w:spacing w:before="0" w:after="240"/>
        <w:pBdr>
          <w:bottom w:val="single" w:sz="6" w:color="8A6D1E"/>
        </w:pBdr>
      </w:pPr>
    </w:p>
    <w:p>
      <w:pPr>
        <w:spacing w:after="80"/>
      </w:pPr>
      <w:r>
        <w:rPr>
          <w:b/>
          <w:color w:val="8A6D1E"/>
          <w:sz w:val="20"/>
        </w:rPr>
        <w:t xml:space="preserve">Generated  </w:t>
      </w:r>
      <w:r>
        <w:rPr>
          <w:sz w:val="21"/>
        </w:rPr>
        <w:t>Sunday, September 13, 2026 | 3:52 PM CT</w:t>
      </w:r>
    </w:p>
    <w:p>
      <w:pPr>
        <w:spacing w:after="80"/>
      </w:pPr>
      <w:r>
        <w:rPr>
          <w:b/>
          <w:color w:val="8A6D1E"/>
          <w:sz w:val="20"/>
        </w:rPr>
        <w:t xml:space="preserve">Spoken source  </w:t>
      </w:r>
      <w:r>
        <w:rPr>
          <w:sz w:val="21"/>
        </w:rPr>
        <w:t>Video_15_FINAL_Story_Led_Conversational_Recording_Script.docx  ·  SHA-256 b5ae27eda8da5993769021db113cfbf0b7155dbca16f86078055d12ef6bfd3ea</w:t>
      </w:r>
    </w:p>
    <w:p>
      <w:pPr>
        <w:spacing w:before="200" w:after="200"/>
        <w:ind w:left="216"/>
        <w:pBdr>
          <w:left w:val="single" w:sz="18" w:color="9B2C10" w:space="8"/>
        </w:pBdr>
        <w:keepNext w:val="1"/>
        <w:keepLines w:val="1"/>
      </w:pPr>
      <w:r>
        <w:rPr>
          <w:b/>
          <w:color w:val="9B2C10"/>
          <w:sz w:val="21"/>
        </w:rPr>
        <w:t>Title and thumbnail wording are taken from the story-led script header. No URL, chapter timestamp, music credit or performance claim is invented anywhere in this document.</w:t>
      </w:r>
    </w:p>
    <w:p>
      <w:pPr>
        <w:spacing w:before="320" w:after="120"/>
        <w:keepNext w:val="1"/>
        <w:keepLines w:val="1"/>
      </w:pPr>
      <w:r>
        <w:rPr>
          <w:b/>
          <w:i w:val="0"/>
          <w:color w:val="112345"/>
          <w:sz w:val="26"/>
        </w:rPr>
        <w:t>YOUTUBE TITLE</w:t>
      </w:r>
    </w:p>
    <w:p>
      <w:pPr>
        <w:spacing w:before="0" w:after="160"/>
      </w:pPr>
      <w:r>
        <w:rPr>
          <w:b/>
          <w:i w:val="0"/>
          <w:color w:val="112345"/>
          <w:sz w:val="26"/>
        </w:rPr>
        <w:t>The Career Gaps You Don't See Until the Work Gets Harder</w:t>
      </w:r>
    </w:p>
    <w:p>
      <w:pPr>
        <w:spacing w:before="320" w:after="120"/>
        <w:keepNext w:val="1"/>
        <w:keepLines w:val="1"/>
      </w:pPr>
      <w:r>
        <w:rPr>
          <w:b/>
          <w:i w:val="0"/>
          <w:color w:val="112345"/>
          <w:sz w:val="26"/>
        </w:rPr>
        <w:t>THUMBNAIL TEXT</w:t>
      </w:r>
    </w:p>
    <w:p>
      <w:pPr>
        <w:spacing w:before="0" w:after="160"/>
      </w:pPr>
      <w:r>
        <w:rPr>
          <w:b/>
          <w:i w:val="0"/>
          <w:color w:val="112345"/>
          <w:sz w:val="26"/>
        </w:rPr>
        <w:t>KNOWING ISN'T OWNING</w:t>
      </w:r>
    </w:p>
    <w:p>
      <w:pPr>
        <w:spacing w:before="320" w:after="120"/>
        <w:keepNext w:val="1"/>
        <w:keepLines w:val="1"/>
      </w:pPr>
      <w:r>
        <w:rPr>
          <w:b/>
          <w:i w:val="0"/>
          <w:color w:val="112345"/>
          <w:sz w:val="26"/>
        </w:rPr>
        <w:t>DESCRIPTION</w:t>
      </w:r>
    </w:p>
    <w:p>
      <w:pPr>
        <w:spacing w:before="0" w:after="160"/>
      </w:pPr>
      <w:r>
        <w:rPr>
          <w:b w:val="0"/>
          <w:i w:val="0"/>
          <w:sz w:val="22"/>
        </w:rPr>
        <w:t>Three career gaps feel identical from the inside and need completely different responses.</w:t>
      </w:r>
    </w:p>
    <w:p>
      <w:pPr>
        <w:spacing w:before="0" w:after="160"/>
      </w:pPr>
      <w:r>
        <w:rPr>
          <w:b w:val="0"/>
          <w:i w:val="0"/>
          <w:sz w:val="22"/>
        </w:rPr>
        <w:t>A learning gap, where there is something you genuinely do not know yet. A practice and authority gap, where you understand the decision but have never been allowed to own it. And an evidence gap, where you already know how and nobody can see enough proof.</w:t>
      </w:r>
    </w:p>
    <w:p>
      <w:pPr>
        <w:spacing w:before="0" w:after="160"/>
      </w:pPr>
      <w:r>
        <w:rPr>
          <w:b w:val="0"/>
          <w:i w:val="0"/>
          <w:sz w:val="22"/>
        </w:rPr>
        <w:t>Learn. Practice. Prove. If you misread which one you have, you can spend a year fixing the wrong problem.</w:t>
      </w:r>
    </w:p>
    <w:p>
      <w:pPr>
        <w:spacing w:before="0" w:after="160"/>
      </w:pPr>
      <w:r>
        <w:rPr>
          <w:b w:val="0"/>
          <w:i w:val="0"/>
          <w:sz w:val="22"/>
        </w:rPr>
        <w:t>This is a reflection tool, not a diagnostic. It does not assign you a type, and some of these gaps are shaped by the organization rather than by you.</w:t>
      </w:r>
    </w:p>
    <w:p>
      <w:pPr>
        <w:spacing w:before="0" w:after="160"/>
      </w:pPr>
      <w:r>
        <w:rPr>
          <w:b/>
          <w:i w:val="0"/>
          <w:color w:val="9B2C10"/>
          <w:sz w:val="22"/>
        </w:rPr>
        <w:t>This video names no resource. Do not add one.</w:t>
      </w:r>
    </w:p>
    <w:p>
      <w:pPr>
        <w:spacing w:before="0" w:after="160"/>
      </w:pPr>
      <w:r>
        <w:rPr>
          <w:b w:val="0"/>
          <w:i w:val="0"/>
          <w:color w:val="5A6B82"/>
          <w:sz w:val="20"/>
        </w:rPr>
        <w:t>WATCH NEXT LINE: Video 16: What to Do When Your Work Is Valued but You Are Overlooked</w:t>
      </w:r>
    </w:p>
    <w:p>
      <w:pPr>
        <w:spacing w:before="0" w:after="160"/>
      </w:pPr>
      <w:r>
        <w:rPr>
          <w:b w:val="0"/>
          <w:i w:val="0"/>
          <w:color w:val="9B2C10"/>
          <w:sz w:val="20"/>
        </w:rPr>
        <w:t>[PLACEHOLDER] Insert the Watch Next URL after that video is published. Do not invent a URL.</w:t>
      </w:r>
    </w:p>
    <w:p>
      <w:pPr>
        <w:spacing w:before="320" w:after="120"/>
        <w:keepNext w:val="1"/>
        <w:keepLines w:val="1"/>
      </w:pPr>
      <w:r>
        <w:rPr>
          <w:b/>
          <w:i w:val="0"/>
          <w:color w:val="112345"/>
          <w:sz w:val="26"/>
        </w:rPr>
        <w:t>PINNED COMMENT</w:t>
      </w:r>
    </w:p>
    <w:p>
      <w:pPr>
        <w:spacing w:before="0" w:after="160"/>
      </w:pPr>
      <w:r>
        <w:rPr>
          <w:b w:val="0"/>
          <w:i w:val="0"/>
          <w:sz w:val="22"/>
        </w:rPr>
        <w:t>Name one gap and the step that matches it.</w:t>
        <w:br/>
        <w:t>LEARN, PRACTICE or PROVE. One word, one sentence.</w:t>
      </w:r>
    </w:p>
    <w:p>
      <w:pPr>
        <w:spacing w:before="0" w:after="160"/>
      </w:pPr>
      <w:r>
        <w:rPr>
          <w:b w:val="0"/>
          <w:i w:val="0"/>
          <w:sz w:val="22"/>
        </w:rPr>
        <w:t>This is not a diagnostic. There is no score at the end of it, no level and no type. Some of these gaps are shaped by the organization rather than by you.</w:t>
      </w:r>
    </w:p>
    <w:p>
      <w:pPr>
        <w:spacing w:before="100" w:after="200"/>
      </w:pPr>
      <w:r>
        <w:rPr>
          <w:b w:val="0"/>
          <w:i w:val="0"/>
          <w:color w:val="5A6B82"/>
          <w:sz w:val="19"/>
        </w:rPr>
        <w:t>The pinned comment was updated by the story-led pass, because the script changed the hook framing it described. Nothing else in this video's publishing copy was rewritten.</w:t>
      </w:r>
    </w:p>
    <w:p>
      <w:pPr>
        <w:spacing w:before="320" w:after="120"/>
        <w:keepNext w:val="1"/>
        <w:keepLines w:val="1"/>
      </w:pPr>
      <w:r>
        <w:rPr>
          <w:b/>
          <w:i w:val="0"/>
          <w:color w:val="112345"/>
          <w:sz w:val="26"/>
        </w:rPr>
        <w:t>TAGS</w:t>
      </w:r>
    </w:p>
    <w:p>
      <w:pPr>
        <w:spacing w:before="0" w:after="160"/>
      </w:pPr>
      <w:r>
        <w:rPr>
          <w:b w:val="0"/>
          <w:i w:val="0"/>
          <w:sz w:val="22"/>
        </w:rPr>
        <w:t>career gaps, decision making at work, career development, experienced professionals, career growth, skills gap, career reflection, workplace judgment, career evidence, mid career, professional development, career strategy</w:t>
      </w:r>
    </w:p>
    <w:p>
      <w:pPr>
        <w:spacing w:before="320" w:after="120"/>
        <w:keepNext w:val="1"/>
        <w:keepLines w:val="1"/>
      </w:pPr>
      <w:r>
        <w:rPr>
          <w:b/>
          <w:i w:val="0"/>
          <w:color w:val="112345"/>
          <w:sz w:val="26"/>
        </w:rPr>
        <w:t>HASHTAGS</w:t>
      </w:r>
    </w:p>
    <w:p>
      <w:pPr>
        <w:spacing w:before="0" w:after="160"/>
      </w:pPr>
      <w:r>
        <w:rPr>
          <w:b/>
          <w:i w:val="0"/>
          <w:sz w:val="24"/>
        </w:rPr>
        <w:t>#CareerGrowth  #CareerDevelopment  #CapabilityFormation</w:t>
      </w:r>
    </w:p>
    <w:p>
      <w:pPr>
        <w:spacing w:before="320" w:after="120"/>
        <w:keepNext w:val="1"/>
        <w:keepLines w:val="1"/>
      </w:pPr>
      <w:r>
        <w:rPr>
          <w:b/>
          <w:i w:val="0"/>
          <w:color w:val="112345"/>
          <w:sz w:val="26"/>
        </w:rPr>
        <w:t>RESOURCE ROUTE</w:t>
      </w:r>
    </w:p>
    <w:p>
      <w:pPr>
        <w:spacing w:before="0" w:after="160"/>
      </w:pPr>
      <w:r>
        <w:rPr>
          <w:b/>
          <w:i w:val="0"/>
          <w:color w:val="9B2C10"/>
          <w:sz w:val="22"/>
        </w:rPr>
        <w:t>None. This script names no resource route.</w:t>
      </w:r>
    </w:p>
    <w:p>
      <w:pPr>
        <w:spacing w:before="320" w:after="120"/>
        <w:keepNext w:val="1"/>
        <w:keepLines w:val="1"/>
      </w:pPr>
      <w:r>
        <w:rPr>
          <w:b/>
          <w:i w:val="0"/>
          <w:color w:val="112345"/>
          <w:sz w:val="26"/>
        </w:rPr>
        <w:t>WATCH NEXT AND PLAYLIST</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4824"/>
        <w:gridCol w:w="4824"/>
      </w:tblGrid>
      <w:tr>
        <w:trPr>
          <w:tblHeader w:val="true"/>
        </w:trPr>
        <w:tc>
          <w:tcPr>
            <w:tcW w:type="dxa" w:w="1944"/>
            <w:shd w:val="clear" w:color="auto" w:fill="F3EFE6"/>
          </w:tcPr>
          <w:p>
            <w:pPr>
              <w:spacing w:before="60" w:after="60" w:line="264" w:lineRule="auto"/>
            </w:pPr>
            <w:r/>
            <w:r>
              <w:rPr>
                <w:b/>
                <w:i w:val="0"/>
                <w:color w:val="112345"/>
                <w:sz w:val="17"/>
              </w:rPr>
              <w:t>FIELD</w:t>
            </w:r>
          </w:p>
        </w:tc>
        <w:tc>
          <w:tcPr>
            <w:tcW w:type="dxa" w:w="7704"/>
            <w:shd w:val="clear" w:color="auto" w:fill="F3EFE6"/>
          </w:tcPr>
          <w:p>
            <w:pPr>
              <w:spacing w:before="60" w:after="60" w:line="264" w:lineRule="auto"/>
            </w:pPr>
            <w:r/>
            <w:r>
              <w:rPr>
                <w:b/>
                <w:i w:val="0"/>
                <w:color w:val="112345"/>
                <w:sz w:val="17"/>
              </w:rPr>
              <w:t>VALUE</w:t>
            </w:r>
          </w:p>
        </w:tc>
      </w:tr>
      <w:tr>
        <w:tc>
          <w:tcPr>
            <w:tcW w:type="dxa" w:w="1944"/>
          </w:tcPr>
          <w:p>
            <w:pPr>
              <w:spacing w:before="60" w:after="60" w:line="264" w:lineRule="auto"/>
            </w:pPr>
            <w:r/>
            <w:r>
              <w:rPr>
                <w:b w:val="0"/>
                <w:i w:val="0"/>
                <w:sz w:val="18"/>
              </w:rPr>
              <w:t>Watch Next</w:t>
            </w:r>
          </w:p>
        </w:tc>
        <w:tc>
          <w:tcPr>
            <w:tcW w:type="dxa" w:w="7704"/>
          </w:tcPr>
          <w:p>
            <w:pPr>
              <w:spacing w:before="60" w:after="60" w:line="264" w:lineRule="auto"/>
            </w:pPr>
            <w:r/>
            <w:r>
              <w:rPr>
                <w:b w:val="0"/>
                <w:i w:val="0"/>
                <w:sz w:val="18"/>
              </w:rPr>
              <w:t>Video 16: What to Do When Your Work Is Valued but You Are Overlooked</w:t>
            </w:r>
          </w:p>
        </w:tc>
      </w:tr>
      <w:tr>
        <w:tc>
          <w:tcPr>
            <w:tcW w:type="dxa" w:w="1944"/>
          </w:tcPr>
          <w:p>
            <w:pPr>
              <w:spacing w:before="60" w:after="60" w:line="264" w:lineRule="auto"/>
            </w:pPr>
            <w:r/>
            <w:r>
              <w:rPr>
                <w:b w:val="0"/>
                <w:i w:val="0"/>
                <w:sz w:val="18"/>
              </w:rPr>
              <w:t>Where that comes from</w:t>
            </w:r>
          </w:p>
        </w:tc>
        <w:tc>
          <w:tcPr>
            <w:tcW w:type="dxa" w:w="7704"/>
          </w:tcPr>
          <w:p>
            <w:pPr>
              <w:spacing w:before="60" w:after="60" w:line="264" w:lineRule="auto"/>
            </w:pPr>
            <w:r/>
            <w:r>
              <w:rPr>
                <w:b w:val="0"/>
                <w:i w:val="0"/>
                <w:sz w:val="18"/>
              </w:rPr>
              <w:t>the Watch Next card in the production deck</w:t>
            </w:r>
          </w:p>
        </w:tc>
      </w:tr>
      <w:tr>
        <w:tc>
          <w:tcPr>
            <w:tcW w:type="dxa" w:w="1944"/>
          </w:tcPr>
          <w:p>
            <w:pPr>
              <w:spacing w:before="60" w:after="60" w:line="264" w:lineRule="auto"/>
            </w:pPr>
            <w:r/>
            <w:r>
              <w:rPr>
                <w:b w:val="0"/>
                <w:i w:val="0"/>
                <w:sz w:val="18"/>
              </w:rPr>
              <w:t>Playlist</w:t>
            </w:r>
          </w:p>
        </w:tc>
        <w:tc>
          <w:tcPr>
            <w:tcW w:type="dxa" w:w="7704"/>
          </w:tcPr>
          <w:p>
            <w:pPr>
              <w:spacing w:before="60" w:after="60" w:line="264" w:lineRule="auto"/>
            </w:pPr>
            <w:r/>
            <w:r>
              <w:rPr>
                <w:b w:val="0"/>
                <w:i w:val="0"/>
                <w:sz w:val="18"/>
              </w:rPr>
              <w:t>Capability Formation: career pivots and internal moves</w:t>
            </w:r>
          </w:p>
        </w:tc>
      </w:tr>
      <w:tr>
        <w:tc>
          <w:tcPr>
            <w:tcW w:type="dxa" w:w="1944"/>
          </w:tcPr>
          <w:p>
            <w:pPr>
              <w:spacing w:before="60" w:after="60" w:line="264" w:lineRule="auto"/>
            </w:pPr>
            <w:r/>
            <w:r>
              <w:rPr>
                <w:b w:val="0"/>
                <w:i w:val="0"/>
                <w:sz w:val="18"/>
              </w:rPr>
              <w:t>End screen</w:t>
            </w:r>
          </w:p>
        </w:tc>
        <w:tc>
          <w:tcPr>
            <w:tcW w:type="dxa" w:w="7704"/>
          </w:tcPr>
          <w:p>
            <w:pPr>
              <w:spacing w:before="60" w:after="60" w:line="264" w:lineRule="auto"/>
            </w:pPr>
            <w:r/>
            <w:r>
              <w:rPr>
                <w:b w:val="0"/>
                <w:i w:val="0"/>
                <w:sz w:val="18"/>
              </w:rPr>
              <w:t>Watch Next is the final full-screen visual. Copy sits left so an end screen can sit right. No return to camera afterward.</w:t>
            </w:r>
          </w:p>
        </w:tc>
      </w:tr>
    </w:tbl>
    <w:p>
      <w:pPr>
        <w:spacing w:after="120"/>
      </w:pPr>
    </w:p>
    <w:p>
      <w:pPr>
        <w:spacing w:before="320" w:after="120"/>
        <w:keepNext w:val="1"/>
        <w:keepLines w:val="1"/>
      </w:pPr>
      <w:r>
        <w:rPr>
          <w:b/>
          <w:i w:val="0"/>
          <w:color w:val="112345"/>
          <w:sz w:val="26"/>
        </w:rPr>
        <w:t>PUBLICATION CHECKLIST</w:t>
      </w:r>
    </w:p>
    <w:p>
      <w:pPr>
        <w:spacing w:after="100" w:line="278" w:lineRule="auto"/>
        <w:ind w:left="490" w:hanging="490"/>
      </w:pPr>
      <w:r>
        <w:rPr>
          <w:b/>
          <w:sz w:val="21"/>
        </w:rPr>
        <w:t xml:space="preserve">1.   </w:t>
      </w:r>
      <w:r>
        <w:rPr>
          <w:sz w:val="21"/>
        </w:rPr>
        <w:t>Thumbnail artwork approved separately, checked at 200 px wide. Artwork is NOT rebuilt by this pass.</w:t>
      </w:r>
    </w:p>
    <w:p>
      <w:pPr>
        <w:spacing w:after="100" w:line="278" w:lineRule="auto"/>
        <w:ind w:left="490" w:hanging="490"/>
      </w:pPr>
      <w:r>
        <w:rPr>
          <w:b/>
          <w:sz w:val="21"/>
        </w:rPr>
        <w:t xml:space="preserve">2.   </w:t>
      </w:r>
      <w:r>
        <w:rPr>
          <w:sz w:val="21"/>
        </w:rPr>
        <w:t>Title and thumbnail wording match the story-led script header.</w:t>
      </w:r>
    </w:p>
    <w:p>
      <w:pPr>
        <w:spacing w:after="100" w:line="278" w:lineRule="auto"/>
        <w:ind w:left="490" w:hanging="490"/>
      </w:pPr>
      <w:r>
        <w:rPr>
          <w:b/>
          <w:sz w:val="21"/>
        </w:rPr>
        <w:t xml:space="preserve">3.   </w:t>
      </w:r>
      <w:r>
        <w:rPr>
          <w:sz w:val="21"/>
        </w:rPr>
        <w:t>No resource link appears anywhere, because the script names none.</w:t>
      </w:r>
    </w:p>
    <w:p>
      <w:pPr>
        <w:spacing w:after="100" w:line="278" w:lineRule="auto"/>
        <w:ind w:left="490" w:hanging="490"/>
      </w:pPr>
      <w:r>
        <w:rPr>
          <w:b/>
          <w:sz w:val="21"/>
        </w:rPr>
        <w:t xml:space="preserve">4.   </w:t>
      </w:r>
      <w:r>
        <w:rPr>
          <w:sz w:val="21"/>
        </w:rPr>
        <w:t>Watch Next URL inserted once that video is published. Not before.</w:t>
      </w:r>
    </w:p>
    <w:p>
      <w:pPr>
        <w:spacing w:after="100" w:line="278" w:lineRule="auto"/>
        <w:ind w:left="490" w:hanging="490"/>
      </w:pPr>
      <w:r>
        <w:rPr>
          <w:b/>
          <w:sz w:val="21"/>
        </w:rPr>
        <w:t xml:space="preserve">5.   </w:t>
      </w:r>
      <w:r>
        <w:rPr>
          <w:sz w:val="21"/>
        </w:rPr>
        <w:t>Captions: no burned-in subtitles. SRT from the final edited timeline.</w:t>
      </w:r>
    </w:p>
    <w:p>
      <w:pPr>
        <w:spacing w:after="100" w:line="278" w:lineRule="auto"/>
        <w:ind w:left="490" w:hanging="490"/>
      </w:pPr>
      <w:r>
        <w:rPr>
          <w:b/>
          <w:sz w:val="21"/>
        </w:rPr>
        <w:t xml:space="preserve">6.   </w:t>
      </w:r>
      <w:r>
        <w:rPr>
          <w:sz w:val="21"/>
        </w:rPr>
        <w:t>Chapters written from the actual final export. None exist yet.</w:t>
      </w:r>
    </w:p>
    <w:p>
      <w:pPr>
        <w:spacing w:after="100" w:line="278" w:lineRule="auto"/>
        <w:ind w:left="490" w:hanging="490"/>
      </w:pPr>
      <w:r>
        <w:rPr>
          <w:b/>
          <w:sz w:val="21"/>
        </w:rPr>
        <w:t xml:space="preserve">7.   </w:t>
      </w:r>
      <w:r>
        <w:rPr>
          <w:sz w:val="21"/>
        </w:rPr>
        <w:t>Music attribution from the actual track used. None is recorded here.</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Video 15 publishing materials  |  story-led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