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16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Editorial Check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What to Do When Your Work Is Valued but You Are Overlooked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Video_16_FINAL_Story_Led_Conversational_Recording_Script.docx  ·  SHA-256 0349d5904a7e520c9a6b7b6ee6dc6111b55b68dc9bd33a286e769582631c1c0b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REGULAR LONG-FORM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story-led layer is how the viewer arrives, not a replacement for the standard. Painful problem, solution, viewer outcome still governs.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RECOGNIZABLE SITUATION</w:t>
      </w:r>
    </w:p>
    <w:p>
      <w:pPr>
        <w:spacing w:before="0" w:after="160"/>
      </w:pPr>
      <w:r>
        <w:rPr>
          <w:b w:val="0"/>
          <w:i w:val="0"/>
          <w:sz w:val="25"/>
        </w:rPr>
        <w:t>When something is urgent, they call you.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What makes the viewer recognize themselves. This is camera-led and nothing covers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PAINFUL PROBLEM</w:t>
      </w:r>
    </w:p>
    <w:p>
      <w:pPr>
        <w:spacing w:before="0" w:after="160"/>
      </w:pPr>
      <w:r>
        <w:rPr>
          <w:b w:val="0"/>
          <w:i w:val="0"/>
          <w:sz w:val="25"/>
        </w:rPr>
        <w:t>Your work is relied on and your name is not in the room where scope is decided.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SOLUTION, DISTINCTION OR TOOL</w:t>
      </w:r>
    </w:p>
    <w:p>
      <w:pPr>
        <w:spacing w:before="0" w:after="160"/>
      </w:pPr>
      <w:r>
        <w:rPr>
          <w:b w:val="0"/>
          <w:i w:val="0"/>
          <w:sz w:val="25"/>
        </w:rPr>
        <w:t>Four separations, the does-not-know versus knows-and-does-not-act hinge, and a three-item contribution record.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VIEWER OUTCOME</w:t>
      </w:r>
    </w:p>
    <w:p>
      <w:pPr>
        <w:spacing w:before="0" w:after="160"/>
      </w:pPr>
      <w:r>
        <w:rPr>
          <w:b w:val="0"/>
          <w:i w:val="0"/>
          <w:sz w:val="25"/>
        </w:rPr>
        <w:t>You can remove the obstacle that was yours, then read what is left and decide whether to wait or test elsewhere.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TESTS AGAINST THE STORY-LED SCRIPT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TEST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RESULT</w:t>
            </w:r>
          </w:p>
        </w:tc>
        <w:tc>
          <w:tcPr>
            <w:tcW w:type="dxa" w:w="460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Opens on a recognizable situation, not the framework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When something is urgent, they call you.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 is the viewer's, not the presenter's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Your work is relied on and your name is not in the room where scope is decided.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solution or tool sits between problem and outcome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Four separations, the does-not-know versus knows-and-does-not-act hinge, and a 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outcome is something the viewer can do afterward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can remove the obstacle that was yours, then read what is left and decide wh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closes on the viewer, not the presenter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last 320 words: 0.6% first person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Experience is warrant, not the destination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0.5% of the script is first person, against a 4% ceiling (viewer-problem title)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stays camera-led overall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 camera stretches against 10 full-screen frames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PAGE DOES NOT CLAIM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the video will retain, convert or rank.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that everything in Temidayo's experience transfers. Employer constraints, bias, markets, credentials, regulation, domain knowledge, relationships, compensation realities, genuine gaps and relearning all still apply.</w:t>
      </w:r>
    </w:p>
    <w:p>
      <w:pPr>
        <w:spacing w:after="80" w:line="278" w:lineRule="auto"/>
        <w:ind w:left="547" w:hanging="230"/>
      </w:pPr>
      <w:r>
        <w:rPr>
          <w:sz w:val="21"/>
        </w:rPr>
        <w:t>•   A pass means the structure holds, not that the script is finished. The September 13 script is the authority on the words.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16 editorial check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